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27" w:rsidRPr="00951180" w:rsidRDefault="00CD0927" w:rsidP="00CD0927">
      <w:pPr>
        <w:pStyle w:val="NormalWeb"/>
        <w:ind w:firstLine="708"/>
        <w:jc w:val="both"/>
        <w:rPr>
          <w:rFonts w:asciiTheme="minorHAnsi" w:hAnsiTheme="minorHAnsi" w:cstheme="minorHAnsi"/>
          <w:bCs/>
          <w:iCs/>
          <w:color w:val="767171" w:themeColor="background2" w:themeShade="80"/>
          <w:sz w:val="26"/>
          <w:szCs w:val="26"/>
        </w:rPr>
      </w:pPr>
      <w:r w:rsidRPr="00951180">
        <w:rPr>
          <w:rFonts w:asciiTheme="minorHAnsi" w:hAnsiTheme="minorHAnsi" w:cstheme="minorHAnsi"/>
          <w:b/>
          <w:bCs/>
          <w:iCs/>
          <w:color w:val="767171" w:themeColor="background2" w:themeShade="80"/>
          <w:sz w:val="26"/>
          <w:szCs w:val="26"/>
        </w:rPr>
        <w:t xml:space="preserve">León, Guanajuato, a </w:t>
      </w:r>
      <w:r w:rsidR="00745A31">
        <w:rPr>
          <w:rFonts w:asciiTheme="minorHAnsi" w:hAnsiTheme="minorHAnsi" w:cstheme="minorHAnsi"/>
          <w:b/>
          <w:bCs/>
          <w:iCs/>
          <w:color w:val="767171" w:themeColor="background2" w:themeShade="80"/>
          <w:sz w:val="26"/>
          <w:szCs w:val="26"/>
        </w:rPr>
        <w:t xml:space="preserve">27 veintisiete </w:t>
      </w:r>
      <w:r w:rsidRPr="00951180">
        <w:rPr>
          <w:rFonts w:asciiTheme="minorHAnsi" w:hAnsiTheme="minorHAnsi" w:cstheme="minorHAnsi"/>
          <w:b/>
          <w:bCs/>
          <w:iCs/>
          <w:color w:val="767171" w:themeColor="background2" w:themeShade="80"/>
          <w:sz w:val="26"/>
          <w:szCs w:val="26"/>
        </w:rPr>
        <w:t>de marzo del año 2017 dos mil diecisiete</w:t>
      </w:r>
      <w:r>
        <w:rPr>
          <w:rFonts w:asciiTheme="minorHAnsi" w:hAnsiTheme="minorHAnsi" w:cstheme="minorHAnsi"/>
          <w:bCs/>
          <w:iCs/>
          <w:color w:val="767171" w:themeColor="background2" w:themeShade="80"/>
          <w:sz w:val="26"/>
          <w:szCs w:val="26"/>
        </w:rPr>
        <w:t xml:space="preserve">. </w:t>
      </w:r>
      <w:r w:rsidR="00563DE3">
        <w:rPr>
          <w:rFonts w:asciiTheme="minorHAnsi" w:hAnsiTheme="minorHAnsi" w:cstheme="minorHAnsi"/>
          <w:bCs/>
          <w:iCs/>
          <w:color w:val="767171" w:themeColor="background2" w:themeShade="80"/>
          <w:sz w:val="26"/>
          <w:szCs w:val="26"/>
        </w:rPr>
        <w:t xml:space="preserve">. . . . . . . . . . . . . . . . . . . . . . . . . . . . . . . . . . . . . . . . . . . . . . . . . . . . . . . . . . . . </w:t>
      </w:r>
    </w:p>
    <w:p w:rsidR="00CD0927" w:rsidRPr="00951180" w:rsidRDefault="00CD0927" w:rsidP="00CD0927">
      <w:pPr>
        <w:pStyle w:val="NormalWeb"/>
        <w:ind w:firstLine="708"/>
        <w:jc w:val="both"/>
        <w:rPr>
          <w:rFonts w:asciiTheme="minorHAnsi" w:hAnsiTheme="minorHAnsi" w:cstheme="minorHAnsi"/>
          <w:color w:val="767171" w:themeColor="background2" w:themeShade="80"/>
          <w:sz w:val="26"/>
          <w:szCs w:val="26"/>
        </w:rPr>
      </w:pPr>
      <w:r w:rsidRPr="00951180">
        <w:rPr>
          <w:rFonts w:asciiTheme="minorHAnsi" w:hAnsiTheme="minorHAnsi" w:cstheme="minorHAnsi"/>
          <w:b/>
          <w:i/>
          <w:iCs/>
          <w:color w:val="767171" w:themeColor="background2" w:themeShade="80"/>
          <w:sz w:val="26"/>
          <w:szCs w:val="26"/>
        </w:rPr>
        <w:t xml:space="preserve">V I S T O S 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para dictar sentencia definitiva, en los autos del proceso administrativo identificado con el expediente número </w:t>
      </w:r>
      <w:r>
        <w:rPr>
          <w:rFonts w:asciiTheme="minorHAnsi" w:hAnsiTheme="minorHAnsi" w:cstheme="minorHAnsi"/>
          <w:b/>
          <w:color w:val="767171" w:themeColor="background2" w:themeShade="80"/>
          <w:sz w:val="26"/>
          <w:szCs w:val="26"/>
        </w:rPr>
        <w:t>972</w:t>
      </w:r>
      <w:r w:rsidRPr="00951180">
        <w:rPr>
          <w:rFonts w:asciiTheme="minorHAnsi" w:hAnsiTheme="minorHAnsi" w:cstheme="minorHAnsi"/>
          <w:b/>
          <w:color w:val="767171" w:themeColor="background2" w:themeShade="80"/>
          <w:sz w:val="26"/>
          <w:szCs w:val="26"/>
        </w:rPr>
        <w:t>/2015-JN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, promovido por el ciudadano </w:t>
      </w:r>
      <w:r w:rsidR="00730044">
        <w:rPr>
          <w:rFonts w:asciiTheme="minorHAnsi" w:hAnsiTheme="minorHAnsi" w:cstheme="minorHAnsi"/>
          <w:b/>
          <w:color w:val="767171" w:themeColor="background2" w:themeShade="80"/>
          <w:sz w:val="26"/>
          <w:szCs w:val="26"/>
        </w:rPr>
        <w:t>*****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; y,. . . . . . . . . . . . . . . . . . . . . 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. . . . . . . . . . . . . </w:t>
      </w:r>
    </w:p>
    <w:p w:rsidR="00CD0927" w:rsidRPr="00951180" w:rsidRDefault="00CD0927" w:rsidP="00CD0927">
      <w:pPr>
        <w:pStyle w:val="Textoindependienteprimerasangra"/>
        <w:ind w:firstLine="0"/>
        <w:jc w:val="both"/>
        <w:rPr>
          <w:rFonts w:asciiTheme="minorHAnsi" w:hAnsiTheme="minorHAnsi" w:cstheme="minorHAnsi"/>
          <w:color w:val="767171" w:themeColor="background2" w:themeShade="80"/>
          <w:sz w:val="26"/>
          <w:szCs w:val="26"/>
        </w:rPr>
      </w:pPr>
    </w:p>
    <w:p w:rsidR="00CD0927" w:rsidRPr="00951180" w:rsidRDefault="00CD0927" w:rsidP="00CD0927">
      <w:pPr>
        <w:pStyle w:val="Textoindependienteprimerasangra"/>
        <w:ind w:firstLine="0"/>
        <w:jc w:val="center"/>
        <w:rPr>
          <w:rFonts w:asciiTheme="minorHAnsi" w:hAnsiTheme="minorHAnsi" w:cstheme="minorHAnsi"/>
          <w:b/>
          <w:color w:val="767171" w:themeColor="background2" w:themeShade="80"/>
          <w:sz w:val="26"/>
          <w:szCs w:val="26"/>
        </w:rPr>
      </w:pPr>
      <w:r w:rsidRPr="00951180">
        <w:rPr>
          <w:rFonts w:asciiTheme="minorHAnsi" w:hAnsiTheme="minorHAnsi" w:cstheme="minorHAnsi"/>
          <w:b/>
          <w:i/>
          <w:color w:val="767171" w:themeColor="background2" w:themeShade="80"/>
          <w:sz w:val="26"/>
          <w:szCs w:val="26"/>
        </w:rPr>
        <w:t xml:space="preserve">C O N S I D E R A N D </w:t>
      </w:r>
      <w:proofErr w:type="gramStart"/>
      <w:r w:rsidRPr="00951180">
        <w:rPr>
          <w:rFonts w:asciiTheme="minorHAnsi" w:hAnsiTheme="minorHAnsi" w:cstheme="minorHAnsi"/>
          <w:b/>
          <w:i/>
          <w:color w:val="767171" w:themeColor="background2" w:themeShade="80"/>
          <w:sz w:val="26"/>
          <w:szCs w:val="26"/>
        </w:rPr>
        <w:t>O :</w:t>
      </w:r>
      <w:proofErr w:type="gramEnd"/>
    </w:p>
    <w:p w:rsidR="00CD0927" w:rsidRPr="00951180" w:rsidRDefault="00CD0927" w:rsidP="00CD0927">
      <w:pPr>
        <w:jc w:val="both"/>
        <w:rPr>
          <w:color w:val="767171" w:themeColor="background2" w:themeShade="80"/>
        </w:rPr>
      </w:pPr>
    </w:p>
    <w:p w:rsidR="00CD0927" w:rsidRPr="00951180" w:rsidRDefault="00CD0927" w:rsidP="00CD0927">
      <w:pPr>
        <w:pStyle w:val="Textoindependienteprimerasangra"/>
        <w:ind w:firstLine="708"/>
        <w:jc w:val="both"/>
        <w:rPr>
          <w:rFonts w:asciiTheme="minorHAnsi" w:hAnsiTheme="minorHAnsi" w:cstheme="minorHAnsi"/>
          <w:color w:val="767171" w:themeColor="background2" w:themeShade="80"/>
          <w:sz w:val="26"/>
          <w:szCs w:val="26"/>
          <w:lang w:val="es-MX"/>
        </w:rPr>
      </w:pPr>
      <w:r w:rsidRPr="00951180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6"/>
          <w:szCs w:val="26"/>
        </w:rPr>
        <w:t xml:space="preserve">SEGUNDO.- 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La demanda fue presentada oportunamente dentro de los 30 treinta días hábiles siguientes a aquél en que el actor se ostenta sabedor 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  <w:lang w:val="es-MX"/>
        </w:rPr>
        <w:t xml:space="preserve">de los actos que impugna; que fue, según dijo, el día </w:t>
      </w:r>
      <w:r w:rsidR="00904D1D">
        <w:rPr>
          <w:rFonts w:asciiTheme="minorHAnsi" w:hAnsiTheme="minorHAnsi" w:cstheme="minorHAnsi"/>
          <w:color w:val="767171" w:themeColor="background2" w:themeShade="80"/>
          <w:sz w:val="26"/>
          <w:szCs w:val="26"/>
          <w:lang w:val="es-MX"/>
        </w:rPr>
        <w:t>26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  <w:lang w:val="es-MX"/>
        </w:rPr>
        <w:t xml:space="preserve"> </w:t>
      </w:r>
      <w:r w:rsidR="00904D1D">
        <w:rPr>
          <w:rFonts w:asciiTheme="minorHAnsi" w:hAnsiTheme="minorHAnsi" w:cstheme="minorHAnsi"/>
          <w:color w:val="767171" w:themeColor="background2" w:themeShade="80"/>
          <w:sz w:val="26"/>
          <w:szCs w:val="26"/>
          <w:lang w:val="es-MX"/>
        </w:rPr>
        <w:t>vei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  <w:lang w:val="es-MX"/>
        </w:rPr>
        <w:t>n</w:t>
      </w:r>
      <w:r w:rsidR="00904D1D">
        <w:rPr>
          <w:rFonts w:asciiTheme="minorHAnsi" w:hAnsiTheme="minorHAnsi" w:cstheme="minorHAnsi"/>
          <w:color w:val="767171" w:themeColor="background2" w:themeShade="80"/>
          <w:sz w:val="26"/>
          <w:szCs w:val="26"/>
          <w:lang w:val="es-MX"/>
        </w:rPr>
        <w:t>tiséis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  <w:lang w:val="es-MX"/>
        </w:rPr>
        <w:t xml:space="preserve"> de o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  <w:lang w:val="es-MX"/>
        </w:rPr>
        <w:t>ctub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  <w:lang w:val="es-MX"/>
        </w:rPr>
        <w:t>re del año 2015 dos mil quince; sin que de las constancias de la presente causa administrativa se desprenda lo contrario. . . . . . . . . . . . . . . . . . . . . . . . . . . . . . . . . . .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  <w:lang w:val="es-MX"/>
        </w:rPr>
        <w:t xml:space="preserve"> </w:t>
      </w:r>
    </w:p>
    <w:p w:rsidR="00CD0927" w:rsidRPr="00951180" w:rsidRDefault="00CD0927" w:rsidP="00CD0927">
      <w:pPr>
        <w:pStyle w:val="Textoindependienteprimerasangra"/>
        <w:jc w:val="both"/>
        <w:rPr>
          <w:rFonts w:asciiTheme="minorHAnsi" w:hAnsiTheme="minorHAnsi" w:cstheme="minorHAnsi"/>
          <w:b/>
          <w:i/>
          <w:iCs/>
          <w:color w:val="767171" w:themeColor="background2" w:themeShade="80"/>
          <w:sz w:val="26"/>
          <w:szCs w:val="26"/>
          <w:lang w:val="es-MX"/>
        </w:rPr>
      </w:pPr>
    </w:p>
    <w:p w:rsidR="00CD0927" w:rsidRPr="0067444C" w:rsidRDefault="00CD0927" w:rsidP="00CD0927">
      <w:pPr>
        <w:pStyle w:val="Textoindependienteprimerasangra"/>
        <w:ind w:firstLine="708"/>
        <w:jc w:val="both"/>
        <w:rPr>
          <w:rFonts w:asciiTheme="minorHAnsi" w:hAnsiTheme="minorHAnsi" w:cstheme="minorHAnsi"/>
          <w:color w:val="767171" w:themeColor="background2" w:themeShade="80"/>
          <w:sz w:val="26"/>
          <w:szCs w:val="26"/>
        </w:rPr>
      </w:pPr>
      <w:r w:rsidRPr="00951180">
        <w:rPr>
          <w:rFonts w:asciiTheme="minorHAnsi" w:hAnsiTheme="minorHAnsi" w:cstheme="minorHAnsi"/>
          <w:b/>
          <w:i/>
          <w:iCs/>
          <w:color w:val="767171" w:themeColor="background2" w:themeShade="80"/>
          <w:sz w:val="26"/>
          <w:szCs w:val="26"/>
        </w:rPr>
        <w:t xml:space="preserve">TERCERO.- 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La existencia de los actos impugnados, se encuentra acreditada con el recibo 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con 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número</w:t>
      </w:r>
      <w:r w:rsidR="00B94A0B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A 31544662 (A tres-uno-cinco-cuatro-cuatro-seis-seis-dos);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</w:t>
      </w:r>
      <w:r w:rsidR="00B94A0B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en el que aparece un sa</w:t>
      </w:r>
      <w:r w:rsidR="00FB66F6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ldo deudor por la cantidad de $</w:t>
      </w:r>
      <w:r w:rsidR="00B94A0B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2,045.90 (Dos mil cuarenta y cinco pesos 90/100 Moneda Nacional); 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cuyo original, aportado por el actor, obra en el secreto de este juzgado (visible, en copia certificada, a foja 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5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c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i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nco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). Medio de Prueba al que se le concede pleno valor probatorio, conforme lo dispuesto en los artículos 78, 113, 117, 118, 121, 122  y 131 del Código de Procedimiento y Justicia Administrativa para el Estado y los Municipios de Guanajuato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y del que se desprende, a su vez, </w:t>
      </w:r>
      <w:r w:rsidRPr="0067444C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el apercibimiento de suspensión del servicio. . . . . . . . . . . . . . . . . . . . . . . . . . . . </w:t>
      </w:r>
      <w:r w:rsidR="00B94A0B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. . . . . . </w:t>
      </w:r>
      <w:r w:rsidR="00CC4E53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. . . . . . . . . . . . . . . . . . . . . . . . . . . . . </w:t>
      </w:r>
    </w:p>
    <w:p w:rsidR="00CD0927" w:rsidRPr="00B14C25" w:rsidRDefault="00CD0927" w:rsidP="00CD0927">
      <w:pPr>
        <w:pStyle w:val="Textoindependienteprimerasangra"/>
        <w:jc w:val="both"/>
        <w:rPr>
          <w:rFonts w:asciiTheme="minorHAnsi" w:hAnsiTheme="minorHAnsi" w:cstheme="minorHAnsi"/>
          <w:b/>
          <w:i/>
          <w:color w:val="767171" w:themeColor="background2" w:themeShade="80"/>
          <w:sz w:val="26"/>
          <w:szCs w:val="26"/>
        </w:rPr>
      </w:pPr>
    </w:p>
    <w:p w:rsidR="00CD0927" w:rsidRPr="00B14C25" w:rsidRDefault="00CD0927" w:rsidP="00CD0927">
      <w:pPr>
        <w:ind w:firstLine="708"/>
        <w:jc w:val="both"/>
        <w:rPr>
          <w:rFonts w:asciiTheme="minorHAnsi" w:hAnsiTheme="minorHAnsi"/>
          <w:bCs/>
          <w:iCs/>
          <w:color w:val="767171" w:themeColor="background2" w:themeShade="80"/>
          <w:sz w:val="26"/>
          <w:szCs w:val="26"/>
        </w:rPr>
      </w:pPr>
      <w:r w:rsidRPr="00B14C25">
        <w:rPr>
          <w:rFonts w:asciiTheme="minorHAnsi" w:hAnsiTheme="minorHAnsi"/>
          <w:b/>
          <w:bCs/>
          <w:i/>
          <w:iCs/>
          <w:color w:val="767171" w:themeColor="background2" w:themeShade="80"/>
          <w:sz w:val="26"/>
          <w:szCs w:val="26"/>
        </w:rPr>
        <w:t xml:space="preserve">CUARTO.- </w:t>
      </w:r>
      <w:r w:rsidRPr="00B14C25">
        <w:rPr>
          <w:rFonts w:asciiTheme="minorHAnsi" w:hAnsiTheme="minorHAnsi"/>
          <w:bCs/>
          <w:iCs/>
          <w:color w:val="767171" w:themeColor="background2" w:themeShade="80"/>
          <w:sz w:val="26"/>
          <w:szCs w:val="26"/>
        </w:rPr>
        <w:t xml:space="preserve">Por ser su examen  preferente y de orden público, se analiza en principio si en la especie, se actualiza alguna de las causales de improcedencia o sobreseimiento previstas en los artículos 261 y 262 del Código de Procedimiento y Justicia Administrativa  para el Estado y los Municipios de  Guanajuato, ya que de actualizarse alguna, podría imposibilitar el pronunciamiento por parte de este órgano jurisdiccional sobre el fondo de la controversia planteada. . . . . . . . . . . . . . </w:t>
      </w:r>
    </w:p>
    <w:p w:rsidR="00CD0927" w:rsidRPr="00B14C25" w:rsidRDefault="00CD0927" w:rsidP="00CD0927">
      <w:pPr>
        <w:ind w:firstLine="708"/>
        <w:jc w:val="both"/>
        <w:rPr>
          <w:rFonts w:asciiTheme="minorHAnsi" w:hAnsiTheme="minorHAnsi"/>
          <w:bCs/>
          <w:iCs/>
          <w:color w:val="767171" w:themeColor="background2" w:themeShade="80"/>
          <w:sz w:val="26"/>
          <w:szCs w:val="26"/>
        </w:rPr>
      </w:pPr>
    </w:p>
    <w:p w:rsidR="00221BCA" w:rsidRDefault="00CD0927" w:rsidP="00CD0927">
      <w:pPr>
        <w:pStyle w:val="Sangra2detindependiente"/>
        <w:spacing w:line="240" w:lineRule="auto"/>
        <w:ind w:left="0" w:firstLine="283"/>
        <w:jc w:val="both"/>
        <w:rPr>
          <w:rFonts w:asciiTheme="minorHAnsi" w:hAnsiTheme="minorHAnsi"/>
          <w:color w:val="767171" w:themeColor="background2" w:themeShade="80"/>
          <w:sz w:val="26"/>
          <w:szCs w:val="26"/>
        </w:rPr>
      </w:pP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>En el presente proceso, la autoridad enjuiciada, en su escrito de contestación de demanda, exteriorizó que se actualizaba la causal de improcedencia prevista en la</w:t>
      </w:r>
      <w:r w:rsidR="00405DD0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 fracció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n I, del artículo 261 del Código de Procedimiento y Justicia Administrativa para el Estado y los Municipios de Guanajuato, ya que refirió que </w:t>
      </w:r>
      <w:r w:rsidR="00221BCA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no se afectan los intereses jurídicos del actor, porque la autoridad demandada cumplió con la expedición del documento </w:t>
      </w:r>
      <w:r w:rsidR="003C7A6C">
        <w:rPr>
          <w:rFonts w:asciiTheme="minorHAnsi" w:hAnsiTheme="minorHAnsi"/>
          <w:color w:val="767171" w:themeColor="background2" w:themeShade="80"/>
          <w:sz w:val="26"/>
          <w:szCs w:val="26"/>
        </w:rPr>
        <w:t>impugnado y el cliente se obligó</w:t>
      </w:r>
      <w:r w:rsidR="00221BCA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 a pagar la contraprestación por el servicio otorgado. . . . . . . . . . . . . . . . . . </w:t>
      </w:r>
      <w:r w:rsidR="0001255C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. . . . . . . . . </w:t>
      </w:r>
    </w:p>
    <w:p w:rsidR="00EB0D35" w:rsidRDefault="00EB0D35" w:rsidP="00EB0D35">
      <w:pPr>
        <w:pStyle w:val="Sangradetextonormal"/>
        <w:ind w:left="0"/>
        <w:jc w:val="both"/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</w:pPr>
    </w:p>
    <w:p w:rsidR="00EB0D35" w:rsidRPr="00EB0D35" w:rsidRDefault="00EB0D35" w:rsidP="00EB0D35">
      <w:pPr>
        <w:pStyle w:val="Sangradetextonormal"/>
        <w:ind w:left="0" w:firstLine="283"/>
        <w:jc w:val="both"/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</w:pPr>
      <w:r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 xml:space="preserve">     </w:t>
      </w:r>
      <w:r w:rsidR="00CD0927" w:rsidRPr="00B14C25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 xml:space="preserve">Causal de improcedencia que para quien resuelve </w:t>
      </w:r>
      <w:r w:rsidR="00CD0927" w:rsidRPr="00B14C25">
        <w:rPr>
          <w:rFonts w:asciiTheme="minorHAnsi" w:hAnsiTheme="minorHAnsi" w:cs="Calibri"/>
          <w:b/>
          <w:iCs/>
          <w:color w:val="767171" w:themeColor="background2" w:themeShade="80"/>
          <w:sz w:val="26"/>
          <w:szCs w:val="26"/>
        </w:rPr>
        <w:t>no se actualiza</w:t>
      </w:r>
      <w:r w:rsidR="00CD0927" w:rsidRPr="00B14C25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 xml:space="preserve">; toda vez que </w:t>
      </w:r>
      <w:r w:rsidRPr="00EB0D35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 xml:space="preserve">sí se afecta el interés jurídico del actor, pues el </w:t>
      </w:r>
      <w:r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 xml:space="preserve">recibo de pago </w:t>
      </w:r>
      <w:r w:rsidRPr="00EB0D35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 xml:space="preserve">fue dirigido a su persona; y, en segundo lugar, se detalla un adeudo por la cantidad de </w:t>
      </w:r>
      <w:r w:rsidRPr="00EB0D35">
        <w:rPr>
          <w:rFonts w:ascii="Calibri" w:hAnsi="Calibri"/>
          <w:color w:val="767171" w:themeColor="background2" w:themeShade="80"/>
          <w:sz w:val="26"/>
          <w:szCs w:val="26"/>
        </w:rPr>
        <w:t xml:space="preserve">$2,045.90 (Dos mil cuarenta y cinco pesos 90/100 Moneda Nacional), </w:t>
      </w:r>
      <w:r w:rsidRPr="00EB0D35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 xml:space="preserve">respecto del inmueble antes descrito, lo que se traduce, sin duda alguna, en que hay una </w:t>
      </w:r>
      <w:r w:rsidRPr="00EB0D35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lastRenderedPageBreak/>
        <w:t xml:space="preserve">afectación a su patrimonio y a su esfera jurídica; máxime que en dicho documento se consignó: </w:t>
      </w:r>
      <w:r w:rsidRPr="00EB0D35">
        <w:rPr>
          <w:rFonts w:ascii="Calibri" w:hAnsi="Calibri" w:cs="Calibri"/>
          <w:bCs/>
          <w:i/>
          <w:iCs/>
          <w:color w:val="767171" w:themeColor="background2" w:themeShade="80"/>
          <w:sz w:val="26"/>
          <w:szCs w:val="26"/>
        </w:rPr>
        <w:t>“</w:t>
      </w:r>
      <w:r>
        <w:rPr>
          <w:rFonts w:ascii="Calibri" w:hAnsi="Calibri" w:cs="Calibri"/>
          <w:bCs/>
          <w:i/>
          <w:iCs/>
          <w:color w:val="767171" w:themeColor="background2" w:themeShade="80"/>
          <w:sz w:val="26"/>
          <w:szCs w:val="26"/>
        </w:rPr>
        <w:t>Su servicio será suspendido a la brevedad generando costos adicionales</w:t>
      </w:r>
      <w:r w:rsidRPr="00EB0D35">
        <w:rPr>
          <w:rFonts w:ascii="Calibri" w:hAnsi="Calibri" w:cs="Calibri"/>
          <w:bCs/>
          <w:i/>
          <w:iCs/>
          <w:color w:val="767171" w:themeColor="background2" w:themeShade="80"/>
          <w:sz w:val="26"/>
          <w:szCs w:val="26"/>
        </w:rPr>
        <w:t xml:space="preserve">……..”; </w:t>
      </w:r>
      <w:r w:rsidRPr="00EB0D35">
        <w:rPr>
          <w:rFonts w:ascii="Calibri" w:hAnsi="Calibri"/>
          <w:color w:val="767171" w:themeColor="background2" w:themeShade="80"/>
          <w:sz w:val="26"/>
        </w:rPr>
        <w:t xml:space="preserve">por lo que </w:t>
      </w:r>
      <w:r>
        <w:rPr>
          <w:rFonts w:ascii="Calibri" w:hAnsi="Calibri"/>
          <w:color w:val="767171" w:themeColor="background2" w:themeShade="80"/>
          <w:sz w:val="26"/>
        </w:rPr>
        <w:t xml:space="preserve">es evidente que </w:t>
      </w:r>
      <w:r w:rsidRPr="00EB0D35">
        <w:rPr>
          <w:rFonts w:ascii="Calibri" w:hAnsi="Calibri"/>
          <w:color w:val="767171" w:themeColor="background2" w:themeShade="80"/>
          <w:sz w:val="26"/>
        </w:rPr>
        <w:t xml:space="preserve">el </w:t>
      </w:r>
      <w:proofErr w:type="spellStart"/>
      <w:r w:rsidRPr="00EB0D35">
        <w:rPr>
          <w:rFonts w:ascii="Calibri" w:hAnsi="Calibri"/>
          <w:color w:val="767171" w:themeColor="background2" w:themeShade="80"/>
          <w:sz w:val="26"/>
        </w:rPr>
        <w:t>promovente</w:t>
      </w:r>
      <w:proofErr w:type="spellEnd"/>
      <w:r w:rsidRPr="00EB0D35">
        <w:rPr>
          <w:rFonts w:ascii="Calibri" w:hAnsi="Calibri"/>
          <w:color w:val="767171" w:themeColor="background2" w:themeShade="80"/>
          <w:sz w:val="26"/>
        </w:rPr>
        <w:t xml:space="preserve"> se encuentra legitimado para promover el presente proceso administrativo. . . . . . . . . . . . . . .</w:t>
      </w:r>
      <w:r w:rsidR="002C2253">
        <w:rPr>
          <w:rFonts w:ascii="Calibri" w:hAnsi="Calibri"/>
          <w:color w:val="767171" w:themeColor="background2" w:themeShade="80"/>
          <w:sz w:val="26"/>
        </w:rPr>
        <w:t xml:space="preserve"> . . </w:t>
      </w:r>
    </w:p>
    <w:p w:rsidR="00CD0927" w:rsidRPr="00B14C25" w:rsidRDefault="00CD0927" w:rsidP="00DF7DFE">
      <w:pPr>
        <w:jc w:val="both"/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</w:pPr>
    </w:p>
    <w:p w:rsidR="00CD0927" w:rsidRPr="003052C6" w:rsidRDefault="00CD0927" w:rsidP="00CD0927">
      <w:pPr>
        <w:ind w:firstLine="708"/>
        <w:jc w:val="both"/>
        <w:rPr>
          <w:rFonts w:asciiTheme="minorHAnsi" w:hAnsiTheme="minorHAnsi"/>
          <w:color w:val="767171" w:themeColor="background2" w:themeShade="80"/>
          <w:sz w:val="26"/>
          <w:szCs w:val="26"/>
        </w:rPr>
      </w:pPr>
      <w:r w:rsidRPr="00B14C25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>Así las cosas, la autoridad demandada no expresó ninguna otra causal de improcedencia o sobreseimiento; en tanto que este juzgador, de oficio, no aprecia la actualización de alguna que impida el estudio de</w:t>
      </w:r>
      <w:r w:rsidR="00DF7DFE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 xml:space="preserve"> </w:t>
      </w:r>
      <w:r w:rsidRPr="00B14C25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>l</w:t>
      </w:r>
      <w:r w:rsidR="00DF7DFE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>os</w:t>
      </w:r>
      <w:r w:rsidRPr="00B14C25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 xml:space="preserve"> acto</w:t>
      </w:r>
      <w:r w:rsidR="00DF7DFE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>s</w:t>
      </w:r>
      <w:r w:rsidRPr="00B14C25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 xml:space="preserve"> impugnado</w:t>
      </w:r>
      <w:r w:rsidR="00DF7DFE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>s</w:t>
      </w:r>
      <w:r w:rsidRPr="00B14C25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 xml:space="preserve">, consistente en </w:t>
      </w:r>
      <w:r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>e</w:t>
      </w:r>
      <w:r w:rsidRPr="00B14C25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>l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 </w:t>
      </w:r>
      <w:r>
        <w:rPr>
          <w:rFonts w:asciiTheme="minorHAnsi" w:hAnsiTheme="minorHAnsi"/>
          <w:color w:val="767171" w:themeColor="background2" w:themeShade="80"/>
          <w:sz w:val="26"/>
          <w:szCs w:val="26"/>
        </w:rPr>
        <w:t>cobro de diversos conceptos contenidos en el recibo de pago impugnado y de la pretensión de suspenderle el servicio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>;</w:t>
      </w:r>
      <w:r w:rsidRPr="00B14C25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 xml:space="preserve"> en consecuencia, es procedente el presente proceso respecto de tales acto</w:t>
      </w:r>
      <w:r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 xml:space="preserve">s y de esa autoridad. . . . . . </w:t>
      </w:r>
    </w:p>
    <w:p w:rsidR="00CD0927" w:rsidRPr="00B14C25" w:rsidRDefault="00CD0927" w:rsidP="00CD0927">
      <w:pPr>
        <w:jc w:val="both"/>
        <w:rPr>
          <w:rFonts w:asciiTheme="minorHAnsi" w:hAnsiTheme="minorHAnsi" w:cs="Calibri"/>
          <w:b/>
          <w:bCs/>
          <w:i/>
          <w:iCs/>
          <w:color w:val="767171" w:themeColor="background2" w:themeShade="80"/>
          <w:sz w:val="26"/>
          <w:szCs w:val="26"/>
        </w:rPr>
      </w:pPr>
    </w:p>
    <w:p w:rsidR="00CD0927" w:rsidRPr="00B14C25" w:rsidRDefault="00CD0927" w:rsidP="00CD0927">
      <w:pPr>
        <w:ind w:firstLine="708"/>
        <w:jc w:val="both"/>
        <w:rPr>
          <w:rFonts w:asciiTheme="minorHAnsi" w:hAnsiTheme="minorHAnsi" w:cs="Calibri"/>
          <w:color w:val="767171" w:themeColor="background2" w:themeShade="80"/>
          <w:sz w:val="26"/>
          <w:szCs w:val="26"/>
        </w:rPr>
      </w:pPr>
      <w:r w:rsidRPr="00B14C25">
        <w:rPr>
          <w:rFonts w:asciiTheme="minorHAnsi" w:hAnsiTheme="minorHAnsi" w:cs="Calibri"/>
          <w:b/>
          <w:bCs/>
          <w:i/>
          <w:iCs/>
          <w:color w:val="767171" w:themeColor="background2" w:themeShade="80"/>
          <w:sz w:val="26"/>
          <w:szCs w:val="26"/>
          <w:lang w:val="es-MX"/>
        </w:rPr>
        <w:t xml:space="preserve">QUINTO.- </w:t>
      </w:r>
      <w:r w:rsidRPr="00B14C25">
        <w:rPr>
          <w:rFonts w:asciiTheme="minorHAnsi" w:hAnsiTheme="minorHAnsi" w:cs="Calibri"/>
          <w:bCs/>
          <w:iCs/>
          <w:color w:val="767171" w:themeColor="background2" w:themeShade="80"/>
          <w:sz w:val="26"/>
          <w:szCs w:val="26"/>
        </w:rPr>
        <w:t>Previamente al análisis del planteamiento de fondo formulado por el actor; es</w:t>
      </w:r>
      <w:r w:rsidRPr="00B14C25">
        <w:rPr>
          <w:rFonts w:asciiTheme="minorHAnsi" w:hAnsiTheme="minorHAnsi" w:cs="Calibri"/>
          <w:color w:val="767171" w:themeColor="background2" w:themeShade="80"/>
          <w:sz w:val="26"/>
          <w:szCs w:val="26"/>
        </w:rPr>
        <w:t xml:space="preserve">te Juzgador, en cumplimiento a lo establecido en la fracción I del artículo 299 del Código de Procedimiento y Justicia Administrativa para el Estado y los Municipios de Guanajuato, procede a fijar clara y precisamente los puntos controvertidos en el presente proceso administrativo. . . . . . . . . . . . . . . . . . . . . . . . </w:t>
      </w:r>
    </w:p>
    <w:p w:rsidR="00CD0927" w:rsidRPr="00B14C25" w:rsidRDefault="00CD0927" w:rsidP="00CD0927">
      <w:pPr>
        <w:jc w:val="both"/>
        <w:rPr>
          <w:rFonts w:asciiTheme="minorHAnsi" w:hAnsiTheme="minorHAnsi"/>
          <w:color w:val="767171" w:themeColor="background2" w:themeShade="80"/>
          <w:sz w:val="26"/>
          <w:szCs w:val="26"/>
        </w:rPr>
      </w:pPr>
    </w:p>
    <w:p w:rsidR="00CD0927" w:rsidRPr="00B14C25" w:rsidRDefault="00CD0927" w:rsidP="00CD0927">
      <w:pPr>
        <w:ind w:firstLine="708"/>
        <w:jc w:val="both"/>
        <w:rPr>
          <w:rFonts w:asciiTheme="minorHAnsi" w:hAnsiTheme="minorHAnsi"/>
          <w:color w:val="767171" w:themeColor="background2" w:themeShade="80"/>
          <w:sz w:val="26"/>
          <w:szCs w:val="26"/>
        </w:rPr>
      </w:pP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De las constancias que integran la presente causa administrativa, se desprende que con fecha </w:t>
      </w:r>
      <w:r w:rsidR="00DF7DFE">
        <w:rPr>
          <w:rFonts w:asciiTheme="minorHAnsi" w:hAnsiTheme="minorHAnsi"/>
          <w:color w:val="767171" w:themeColor="background2" w:themeShade="80"/>
          <w:sz w:val="26"/>
          <w:szCs w:val="26"/>
        </w:rPr>
        <w:t>26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 </w:t>
      </w:r>
      <w:r w:rsidR="00DF7DFE">
        <w:rPr>
          <w:rFonts w:asciiTheme="minorHAnsi" w:hAnsiTheme="minorHAnsi"/>
          <w:color w:val="767171" w:themeColor="background2" w:themeShade="80"/>
          <w:sz w:val="26"/>
          <w:szCs w:val="26"/>
        </w:rPr>
        <w:t>veintiséis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 de o</w:t>
      </w:r>
      <w:r>
        <w:rPr>
          <w:rFonts w:asciiTheme="minorHAnsi" w:hAnsiTheme="minorHAnsi"/>
          <w:color w:val="767171" w:themeColor="background2" w:themeShade="80"/>
          <w:sz w:val="26"/>
          <w:szCs w:val="26"/>
        </w:rPr>
        <w:t>ctub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>re del año 201</w:t>
      </w:r>
      <w:r>
        <w:rPr>
          <w:rFonts w:asciiTheme="minorHAnsi" w:hAnsiTheme="minorHAnsi"/>
          <w:color w:val="767171" w:themeColor="background2" w:themeShade="80"/>
          <w:sz w:val="26"/>
          <w:szCs w:val="26"/>
        </w:rPr>
        <w:t>5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 dos mil </w:t>
      </w:r>
      <w:r>
        <w:rPr>
          <w:rFonts w:asciiTheme="minorHAnsi" w:hAnsiTheme="minorHAnsi"/>
          <w:color w:val="767171" w:themeColor="background2" w:themeShade="80"/>
          <w:sz w:val="26"/>
          <w:szCs w:val="26"/>
        </w:rPr>
        <w:t>quinc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e, el Sistema de Agua Potable y Alcantarillado de León, Guanajuato, emitió el recibo del servicio público de agua potable </w:t>
      </w:r>
      <w:r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con 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>número</w:t>
      </w:r>
      <w:r w:rsidR="00DF7DFE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 </w:t>
      </w:r>
      <w:r w:rsidR="00DF7DF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A 31544662 (A tres-uno-cinco-cuatro-cuatro-seis-seis-dos); </w:t>
      </w:r>
      <w:r w:rsidR="00F620D9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por la cantidad de </w:t>
      </w:r>
      <w:r w:rsidR="00F620D9" w:rsidRPr="00EB0D35">
        <w:rPr>
          <w:rFonts w:ascii="Calibri" w:hAnsi="Calibri"/>
          <w:color w:val="767171" w:themeColor="background2" w:themeShade="80"/>
          <w:sz w:val="26"/>
          <w:szCs w:val="26"/>
        </w:rPr>
        <w:t xml:space="preserve">$2,045.90 (Dos mil cuarenta y cinco pesos 90/100 Moneda Nacional), </w:t>
      </w:r>
      <w:r w:rsidR="00AA06A5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y </w:t>
      </w:r>
      <w:r w:rsidR="00DF7DF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el apercibimiento de suspenderle el servicio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>, al ciudadano actor</w:t>
      </w:r>
      <w:r w:rsidRPr="00A46E3B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</w:t>
      </w:r>
      <w:r w:rsidR="00DF7DF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de nombre </w:t>
      </w:r>
      <w:r w:rsidR="00730044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*****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, respecto de inmueble ubicado en </w:t>
      </w:r>
      <w:r w:rsidR="00874652">
        <w:rPr>
          <w:rFonts w:asciiTheme="minorHAnsi" w:hAnsiTheme="minorHAnsi"/>
          <w:color w:val="767171" w:themeColor="background2" w:themeShade="80"/>
          <w:sz w:val="26"/>
          <w:szCs w:val="26"/>
        </w:rPr>
        <w:t>*****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. . . . . . </w:t>
      </w:r>
      <w:r w:rsidR="00B43B2C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. . . . . . . . . . . . </w:t>
      </w:r>
    </w:p>
    <w:p w:rsidR="00CD0927" w:rsidRPr="00B14C25" w:rsidRDefault="00CD0927" w:rsidP="00CD0927">
      <w:pPr>
        <w:jc w:val="both"/>
        <w:rPr>
          <w:rFonts w:asciiTheme="minorHAnsi" w:hAnsiTheme="minorHAnsi"/>
          <w:color w:val="767171" w:themeColor="background2" w:themeShade="80"/>
          <w:sz w:val="26"/>
          <w:szCs w:val="26"/>
        </w:rPr>
      </w:pPr>
    </w:p>
    <w:p w:rsidR="00CD0927" w:rsidRPr="00B14C25" w:rsidRDefault="00CD0927" w:rsidP="00CD0927">
      <w:pPr>
        <w:ind w:firstLine="708"/>
        <w:jc w:val="both"/>
        <w:rPr>
          <w:rFonts w:asciiTheme="minorHAnsi" w:hAnsiTheme="minorHAnsi"/>
          <w:color w:val="767171" w:themeColor="background2" w:themeShade="80"/>
          <w:sz w:val="26"/>
          <w:szCs w:val="26"/>
        </w:rPr>
      </w:pP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>Importe a pagar que la parte actora estima ilegal porque se le cobra</w:t>
      </w:r>
      <w:r>
        <w:rPr>
          <w:rFonts w:asciiTheme="minorHAnsi" w:hAnsiTheme="minorHAnsi"/>
          <w:color w:val="767171" w:themeColor="background2" w:themeShade="80"/>
          <w:sz w:val="26"/>
          <w:szCs w:val="26"/>
        </w:rPr>
        <w:t>n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 </w:t>
      </w:r>
      <w:r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conceptos que estima oscuros, indebidos e 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>ilegales. . . . . . . . . . . . . . .</w:t>
      </w:r>
      <w:r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 . . . . . . . . . . . </w:t>
      </w:r>
    </w:p>
    <w:p w:rsidR="00CD0927" w:rsidRDefault="00CD0927" w:rsidP="001F207B">
      <w:pPr>
        <w:jc w:val="both"/>
        <w:rPr>
          <w:rFonts w:asciiTheme="minorHAnsi" w:hAnsiTheme="minorHAnsi"/>
          <w:color w:val="767171" w:themeColor="background2" w:themeShade="80"/>
          <w:sz w:val="26"/>
          <w:szCs w:val="26"/>
          <w:lang w:val="es-MX"/>
        </w:rPr>
      </w:pPr>
    </w:p>
    <w:p w:rsidR="00CD0927" w:rsidRDefault="00CD0927" w:rsidP="00CD0927">
      <w:pPr>
        <w:ind w:firstLine="708"/>
        <w:jc w:val="both"/>
        <w:rPr>
          <w:rFonts w:asciiTheme="minorHAnsi" w:hAnsiTheme="minorHAnsi"/>
          <w:color w:val="767171" w:themeColor="background2" w:themeShade="80"/>
          <w:sz w:val="26"/>
          <w:szCs w:val="26"/>
          <w:lang w:val="es-MX"/>
        </w:rPr>
      </w:pPr>
      <w:r w:rsidRPr="00B14C25">
        <w:rPr>
          <w:rFonts w:asciiTheme="minorHAnsi" w:hAnsiTheme="minorHAnsi"/>
          <w:color w:val="767171" w:themeColor="background2" w:themeShade="80"/>
          <w:sz w:val="26"/>
          <w:szCs w:val="26"/>
          <w:lang w:val="es-MX"/>
        </w:rPr>
        <w:t>Argumentos que la autoridad demandada, a través de su Presidente del Consejo Directivo, consideró que eran inoperantes e infundados, y que</w:t>
      </w:r>
      <w:r w:rsidR="00A4634A">
        <w:rPr>
          <w:rFonts w:asciiTheme="minorHAnsi" w:hAnsiTheme="minorHAnsi"/>
          <w:color w:val="767171" w:themeColor="background2" w:themeShade="80"/>
          <w:sz w:val="26"/>
          <w:szCs w:val="26"/>
          <w:lang w:val="es-MX"/>
        </w:rPr>
        <w:t xml:space="preserve"> el actor ha sido omiso en informar sobre el cambio de giro del inmueble, a dicho organismo operador. 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  <w:lang w:val="es-MX"/>
        </w:rPr>
        <w:t xml:space="preserve">. . . . . . . . . . . . . . . . . . . </w:t>
      </w:r>
      <w:r w:rsidR="00A4634A">
        <w:rPr>
          <w:rFonts w:asciiTheme="minorHAnsi" w:hAnsiTheme="minorHAnsi"/>
          <w:color w:val="767171" w:themeColor="background2" w:themeShade="80"/>
          <w:sz w:val="26"/>
          <w:szCs w:val="26"/>
          <w:lang w:val="es-MX"/>
        </w:rPr>
        <w:t>. . . . . . . . . . . . . . . . . . . . . . . . . .</w:t>
      </w:r>
      <w:r w:rsidR="00B43B2C">
        <w:rPr>
          <w:rFonts w:asciiTheme="minorHAnsi" w:hAnsiTheme="minorHAnsi"/>
          <w:color w:val="767171" w:themeColor="background2" w:themeShade="80"/>
          <w:sz w:val="26"/>
          <w:szCs w:val="26"/>
          <w:lang w:val="es-MX"/>
        </w:rPr>
        <w:t xml:space="preserve"> . . . . . . </w:t>
      </w:r>
    </w:p>
    <w:p w:rsidR="000A71C6" w:rsidRDefault="000A71C6" w:rsidP="00B944D1">
      <w:pPr>
        <w:jc w:val="both"/>
        <w:rPr>
          <w:rFonts w:asciiTheme="minorHAnsi" w:hAnsiTheme="minorHAnsi" w:cs="Calibri"/>
          <w:color w:val="767171" w:themeColor="background2" w:themeShade="80"/>
          <w:sz w:val="26"/>
          <w:szCs w:val="26"/>
        </w:rPr>
      </w:pPr>
    </w:p>
    <w:p w:rsidR="001C0BDC" w:rsidRDefault="001C0BDC" w:rsidP="001C0BDC">
      <w:pPr>
        <w:pStyle w:val="Textoindependienteprimerasangra"/>
        <w:ind w:firstLine="708"/>
        <w:jc w:val="right"/>
        <w:rPr>
          <w:rFonts w:asciiTheme="minorHAnsi" w:hAnsiTheme="minorHAnsi" w:cstheme="minorHAnsi"/>
          <w:b/>
          <w:color w:val="767171" w:themeColor="background2" w:themeShade="80"/>
          <w:sz w:val="26"/>
          <w:szCs w:val="26"/>
        </w:rPr>
      </w:pPr>
      <w:r>
        <w:rPr>
          <w:rFonts w:asciiTheme="minorHAnsi" w:hAnsiTheme="minorHAnsi" w:cstheme="minorHAnsi"/>
          <w:b/>
          <w:color w:val="767171" w:themeColor="background2" w:themeShade="80"/>
          <w:sz w:val="26"/>
          <w:szCs w:val="26"/>
        </w:rPr>
        <w:t>Expediente número 972/2015-JN</w:t>
      </w:r>
    </w:p>
    <w:p w:rsidR="001C0BDC" w:rsidRDefault="001C0BDC" w:rsidP="001C0BDC">
      <w:pPr>
        <w:jc w:val="both"/>
        <w:rPr>
          <w:rFonts w:asciiTheme="minorHAnsi" w:hAnsiTheme="minorHAnsi" w:cs="Calibri"/>
          <w:color w:val="767171" w:themeColor="background2" w:themeShade="80"/>
          <w:sz w:val="26"/>
          <w:szCs w:val="26"/>
        </w:rPr>
      </w:pPr>
    </w:p>
    <w:p w:rsidR="00CD0927" w:rsidRDefault="00CD0927" w:rsidP="001C0BDC">
      <w:pPr>
        <w:ind w:firstLine="708"/>
        <w:jc w:val="both"/>
        <w:rPr>
          <w:rFonts w:asciiTheme="minorHAnsi" w:hAnsiTheme="minorHAnsi"/>
          <w:color w:val="767171" w:themeColor="background2" w:themeShade="80"/>
          <w:sz w:val="26"/>
          <w:szCs w:val="26"/>
        </w:rPr>
      </w:pPr>
      <w:r w:rsidRPr="00B14C25">
        <w:rPr>
          <w:rFonts w:asciiTheme="minorHAnsi" w:hAnsiTheme="minorHAnsi" w:cs="Calibri"/>
          <w:color w:val="767171" w:themeColor="background2" w:themeShade="80"/>
          <w:sz w:val="26"/>
          <w:szCs w:val="26"/>
        </w:rPr>
        <w:t xml:space="preserve">Así las cosas, la </w:t>
      </w:r>
      <w:r w:rsidRPr="008A34D0">
        <w:rPr>
          <w:rFonts w:asciiTheme="minorHAnsi" w:hAnsiTheme="minorHAnsi" w:cs="Calibri"/>
          <w:i/>
          <w:color w:val="767171" w:themeColor="background2" w:themeShade="80"/>
          <w:sz w:val="26"/>
          <w:szCs w:val="26"/>
        </w:rPr>
        <w:t>“</w:t>
      </w:r>
      <w:proofErr w:type="spellStart"/>
      <w:r w:rsidRPr="008A34D0">
        <w:rPr>
          <w:rFonts w:asciiTheme="minorHAnsi" w:hAnsiTheme="minorHAnsi" w:cs="Calibri"/>
          <w:i/>
          <w:color w:val="767171" w:themeColor="background2" w:themeShade="80"/>
          <w:sz w:val="26"/>
          <w:szCs w:val="26"/>
        </w:rPr>
        <w:t>litis</w:t>
      </w:r>
      <w:proofErr w:type="spellEnd"/>
      <w:r w:rsidRPr="008A34D0">
        <w:rPr>
          <w:rFonts w:asciiTheme="minorHAnsi" w:hAnsiTheme="minorHAnsi" w:cs="Calibri"/>
          <w:i/>
          <w:color w:val="767171" w:themeColor="background2" w:themeShade="80"/>
          <w:sz w:val="26"/>
          <w:szCs w:val="26"/>
        </w:rPr>
        <w:t>”</w:t>
      </w:r>
      <w:r w:rsidRPr="00B14C25">
        <w:rPr>
          <w:rFonts w:asciiTheme="minorHAnsi" w:hAnsiTheme="minorHAnsi" w:cs="Calibri"/>
          <w:color w:val="767171" w:themeColor="background2" w:themeShade="80"/>
          <w:sz w:val="26"/>
          <w:szCs w:val="26"/>
        </w:rPr>
        <w:t xml:space="preserve"> planteada se hace consistir en determinar la legalidad o ilegalidad del 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cobro del servicio de agua potable y alcantarillado </w:t>
      </w:r>
      <w:r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contenido 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>en el recibo</w:t>
      </w:r>
      <w:r>
        <w:rPr>
          <w:rFonts w:asciiTheme="minorHAnsi" w:hAnsiTheme="minorHAnsi"/>
          <w:color w:val="767171" w:themeColor="background2" w:themeShade="80"/>
          <w:sz w:val="26"/>
          <w:szCs w:val="26"/>
        </w:rPr>
        <w:t>,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 de diversos conceptos que estima ilegales</w:t>
      </w:r>
      <w:r w:rsidR="000A71C6">
        <w:rPr>
          <w:rFonts w:asciiTheme="minorHAnsi" w:hAnsiTheme="minorHAnsi"/>
          <w:color w:val="767171" w:themeColor="background2" w:themeShade="80"/>
          <w:sz w:val="26"/>
          <w:szCs w:val="26"/>
        </w:rPr>
        <w:t>, así como el apercibimiento de suspensión del servicio de agua potable</w:t>
      </w:r>
      <w:r w:rsidRPr="00B14C25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. . . . . . . . . . . . </w:t>
      </w:r>
      <w:r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. . </w:t>
      </w:r>
      <w:r w:rsidR="000A71C6">
        <w:rPr>
          <w:rFonts w:asciiTheme="minorHAnsi" w:hAnsiTheme="minorHAnsi"/>
          <w:color w:val="767171" w:themeColor="background2" w:themeShade="80"/>
          <w:sz w:val="26"/>
          <w:szCs w:val="26"/>
        </w:rPr>
        <w:t>. . . . . .</w:t>
      </w:r>
      <w:r w:rsidR="001C0BDC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 </w:t>
      </w:r>
    </w:p>
    <w:p w:rsidR="00CD0927" w:rsidRPr="00AC6A24" w:rsidRDefault="00CD0927" w:rsidP="00CD0927">
      <w:pPr>
        <w:pStyle w:val="Ttulo2"/>
        <w:ind w:firstLine="0"/>
        <w:rPr>
          <w:rFonts w:asciiTheme="minorHAnsi" w:hAnsiTheme="minorHAnsi" w:cs="Calibri"/>
          <w:b w:val="0"/>
          <w:bCs w:val="0"/>
          <w:color w:val="767171" w:themeColor="background2" w:themeShade="80"/>
          <w:szCs w:val="26"/>
          <w:lang w:val="es-ES"/>
        </w:rPr>
      </w:pPr>
    </w:p>
    <w:p w:rsidR="00CD0927" w:rsidRPr="00F04F28" w:rsidRDefault="00CD0927" w:rsidP="00CD0927">
      <w:pPr>
        <w:pStyle w:val="Normal0"/>
        <w:ind w:firstLine="708"/>
        <w:jc w:val="both"/>
        <w:rPr>
          <w:rFonts w:ascii="Calibri" w:hAnsi="Calibri"/>
          <w:color w:val="7F7F7F" w:themeColor="text1" w:themeTint="80"/>
          <w:sz w:val="26"/>
        </w:rPr>
      </w:pPr>
      <w:r w:rsidRPr="00F04F28">
        <w:rPr>
          <w:rFonts w:ascii="Calibri" w:hAnsi="Calibri"/>
          <w:b/>
          <w:i/>
          <w:color w:val="7F7F7F" w:themeColor="text1" w:themeTint="80"/>
          <w:sz w:val="26"/>
        </w:rPr>
        <w:t xml:space="preserve">SEXTO.- </w:t>
      </w:r>
      <w:r w:rsidRPr="00F04F28">
        <w:rPr>
          <w:rFonts w:ascii="Calibri" w:hAnsi="Calibri"/>
          <w:color w:val="7F7F7F" w:themeColor="text1" w:themeTint="80"/>
          <w:sz w:val="26"/>
        </w:rPr>
        <w:t>No existiendo causa que impida el estudio de fondo del asu</w:t>
      </w:r>
      <w:r>
        <w:rPr>
          <w:rFonts w:ascii="Calibri" w:hAnsi="Calibri"/>
          <w:color w:val="7F7F7F" w:themeColor="text1" w:themeTint="80"/>
          <w:sz w:val="26"/>
        </w:rPr>
        <w:t>nto en cuanto al acto impugnado</w:t>
      </w:r>
      <w:r w:rsidRPr="00F04F28">
        <w:rPr>
          <w:rFonts w:ascii="Calibri" w:hAnsi="Calibri"/>
          <w:color w:val="7F7F7F" w:themeColor="text1" w:themeTint="80"/>
          <w:sz w:val="26"/>
          <w:szCs w:val="26"/>
        </w:rPr>
        <w:t>;</w:t>
      </w:r>
      <w:r w:rsidRPr="00F04F28">
        <w:rPr>
          <w:rFonts w:ascii="Calibri" w:hAnsi="Calibri"/>
          <w:color w:val="7F7F7F" w:themeColor="text1" w:themeTint="80"/>
          <w:sz w:val="26"/>
        </w:rPr>
        <w:t xml:space="preserve"> se procede al estudio del concepto de impugnación expresado por el actor</w:t>
      </w:r>
      <w:r>
        <w:rPr>
          <w:rFonts w:ascii="Calibri" w:hAnsi="Calibri"/>
          <w:color w:val="7F7F7F" w:themeColor="text1" w:themeTint="80"/>
          <w:sz w:val="26"/>
        </w:rPr>
        <w:t xml:space="preserve"> y marcado </w:t>
      </w:r>
      <w:r w:rsidRPr="00AC6A24">
        <w:rPr>
          <w:rFonts w:ascii="Calibri" w:hAnsi="Calibri"/>
          <w:color w:val="767171" w:themeColor="background2" w:themeShade="80"/>
          <w:sz w:val="26"/>
        </w:rPr>
        <w:t xml:space="preserve">como 6 seis, segundo párrafo; </w:t>
      </w:r>
      <w:r w:rsidRPr="00F04F28">
        <w:rPr>
          <w:rFonts w:ascii="Calibri" w:hAnsi="Calibri"/>
          <w:color w:val="7F7F7F" w:themeColor="text1" w:themeTint="80"/>
          <w:sz w:val="26"/>
        </w:rPr>
        <w:t>sin necesidad de transcribirlo en su totalidad, sirviendo para ello el criterio sostenido por la Suprema Corte de Justicia de la Nación, en la siguiente Jurisprudencia:</w:t>
      </w:r>
      <w:r w:rsidR="002C012A">
        <w:rPr>
          <w:rFonts w:ascii="Calibri" w:hAnsi="Calibri"/>
          <w:color w:val="7F7F7F" w:themeColor="text1" w:themeTint="80"/>
          <w:sz w:val="26"/>
        </w:rPr>
        <w:t xml:space="preserve"> </w:t>
      </w:r>
      <w:r w:rsidRPr="00F04F28">
        <w:rPr>
          <w:rFonts w:ascii="Calibri" w:hAnsi="Calibri"/>
          <w:color w:val="7F7F7F" w:themeColor="text1" w:themeTint="80"/>
          <w:sz w:val="26"/>
        </w:rPr>
        <w:t xml:space="preserve">. . . . . . . . . </w:t>
      </w:r>
    </w:p>
    <w:p w:rsidR="00CD0927" w:rsidRPr="00F04F28" w:rsidRDefault="00CD0927" w:rsidP="00CD0927">
      <w:pPr>
        <w:pStyle w:val="Normal0"/>
        <w:ind w:firstLine="708"/>
        <w:jc w:val="both"/>
        <w:rPr>
          <w:rFonts w:ascii="Calibri" w:hAnsi="Calibri"/>
          <w:color w:val="7F7F7F" w:themeColor="text1" w:themeTint="80"/>
          <w:sz w:val="26"/>
        </w:rPr>
      </w:pPr>
    </w:p>
    <w:p w:rsidR="00CD0927" w:rsidRPr="00F00A94" w:rsidRDefault="00CD0927" w:rsidP="00CD0927">
      <w:pPr>
        <w:pStyle w:val="Normal0"/>
        <w:ind w:firstLine="708"/>
        <w:jc w:val="both"/>
        <w:rPr>
          <w:rFonts w:ascii="Calibri" w:hAnsi="Calibri"/>
          <w:color w:val="7F7F7F" w:themeColor="text1" w:themeTint="80"/>
          <w:sz w:val="26"/>
          <w:szCs w:val="26"/>
        </w:rPr>
      </w:pPr>
      <w:r w:rsidRPr="00F04F28">
        <w:rPr>
          <w:rFonts w:ascii="Calibri" w:hAnsi="Calibri" w:cs="Calibri"/>
          <w:b/>
          <w:i/>
          <w:iCs/>
          <w:color w:val="7F7F7F" w:themeColor="text1" w:themeTint="80"/>
          <w:sz w:val="26"/>
          <w:szCs w:val="26"/>
        </w:rPr>
        <w:t>“CONCEPTOS DE VIOLACIÓN. EL JUEZ NO ESTÁ OBLIGADO A TRANSCRIBIRLOS.</w:t>
      </w:r>
      <w:r w:rsidRPr="00F04F28">
        <w:rPr>
          <w:rFonts w:ascii="Calibri" w:hAnsi="Calibri" w:cs="Calibri"/>
          <w:i/>
          <w:iCs/>
          <w:color w:val="7F7F7F" w:themeColor="text1" w:themeTint="80"/>
          <w:sz w:val="26"/>
          <w:szCs w:val="26"/>
        </w:rPr>
        <w:t xml:space="preserve"> El hecho de que el Juez Federal no transcriba en su fallo los conceptos de violación expresados en la demanda, no implica que haya infringido disposiciones de la Ley de Amparo, a la cual sujeta su actuación, pues </w:t>
      </w:r>
      <w:r w:rsidRPr="00F04F28">
        <w:rPr>
          <w:rFonts w:ascii="Calibri" w:hAnsi="Calibri" w:cs="Calibri"/>
          <w:i/>
          <w:iCs/>
          <w:color w:val="7F7F7F" w:themeColor="text1" w:themeTint="80"/>
          <w:szCs w:val="27"/>
        </w:rPr>
        <w:t>no hay precepto alguno que establezca la obligación de llevar a cabo tal transcripción; además de que dicha omisión no deja en estado de indefensión al quejoso, dado que no se le priva de la oportunidad para recurrir la resolución y alegar lo que estime pertinente para demostrar, en su caso, la ilegalidad de la misma.”</w:t>
      </w:r>
      <w:r w:rsidRPr="00F04F28">
        <w:rPr>
          <w:rFonts w:ascii="Calibri" w:hAnsi="Calibri" w:cs="Calibri"/>
          <w:i/>
          <w:iCs/>
          <w:color w:val="7F7F7F" w:themeColor="text1" w:themeTint="80"/>
          <w:sz w:val="22"/>
          <w:szCs w:val="27"/>
        </w:rPr>
        <w:t xml:space="preserve"> S</w:t>
      </w:r>
      <w:r w:rsidRPr="00F04F28">
        <w:rPr>
          <w:rFonts w:ascii="Calibri" w:hAnsi="Calibri" w:cs="Calibri"/>
          <w:color w:val="7F7F7F" w:themeColor="text1" w:themeTint="80"/>
          <w:sz w:val="22"/>
          <w:szCs w:val="27"/>
        </w:rPr>
        <w:t xml:space="preserve">EGUNDO TRIBUNAL COLEGIADO DEL SEXTO CIRCUITO. No. Registro: 196,477. Jurisprudencia, Materia(s): Común, Novena Época, Instancia: Tribunales Colegiados de Circuito, Fuente: Semanario Judicial de la Federación y su Gaceta. VII, Abril de 1998, Tesis: VI.2o. J/129. Página: 599”. . . . . . . . . . . . . . . . . . . . . . </w:t>
      </w:r>
      <w:r>
        <w:rPr>
          <w:rFonts w:ascii="Calibri" w:hAnsi="Calibri" w:cs="Calibri"/>
          <w:color w:val="7F7F7F" w:themeColor="text1" w:themeTint="80"/>
          <w:sz w:val="22"/>
          <w:szCs w:val="27"/>
        </w:rPr>
        <w:t xml:space="preserve">. . . . . . . . . . </w:t>
      </w:r>
    </w:p>
    <w:p w:rsidR="00CD0927" w:rsidRPr="00F04F28" w:rsidRDefault="00CD0927" w:rsidP="00CD0927">
      <w:pPr>
        <w:tabs>
          <w:tab w:val="left" w:pos="2040"/>
        </w:tabs>
        <w:jc w:val="both"/>
        <w:rPr>
          <w:rFonts w:ascii="Calibri" w:hAnsi="Calibri" w:cs="Calibri"/>
          <w:bCs/>
          <w:iCs/>
          <w:color w:val="7F7F7F" w:themeColor="text1" w:themeTint="80"/>
          <w:sz w:val="26"/>
          <w:szCs w:val="26"/>
        </w:rPr>
      </w:pPr>
    </w:p>
    <w:p w:rsidR="00CD0927" w:rsidRPr="007407FE" w:rsidRDefault="00CD0927" w:rsidP="00CD0927">
      <w:pPr>
        <w:ind w:firstLine="708"/>
        <w:jc w:val="both"/>
        <w:rPr>
          <w:rFonts w:asciiTheme="minorHAnsi" w:hAnsiTheme="minorHAnsi" w:cstheme="minorHAnsi"/>
          <w:color w:val="767171" w:themeColor="background2" w:themeShade="80"/>
          <w:sz w:val="26"/>
          <w:szCs w:val="26"/>
        </w:rPr>
      </w:pPr>
      <w:r w:rsidRPr="00F04F28">
        <w:rPr>
          <w:rFonts w:asciiTheme="minorHAnsi" w:hAnsiTheme="minorHAnsi" w:cstheme="minorHAnsi"/>
          <w:bCs/>
          <w:iCs/>
          <w:color w:val="7F7F7F" w:themeColor="text1" w:themeTint="80"/>
          <w:sz w:val="26"/>
          <w:szCs w:val="26"/>
        </w:rPr>
        <w:t>Así las cosas, e</w:t>
      </w:r>
      <w:r w:rsidRPr="00F04F28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n el concepto de impugnación que se hizo valer</w:t>
      </w:r>
      <w:r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, </w:t>
      </w:r>
      <w:r w:rsidRPr="00AC6A24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en el segundo párrafo del enumerado como 6 seis; </w:t>
      </w:r>
      <w:r w:rsidRPr="004E29E3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la parte actora, en esencia, planteó </w:t>
      </w:r>
      <w:r w:rsidRPr="00AC6A24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que se viola el principio de legalidad, en virtud que </w:t>
      </w:r>
      <w:r w:rsidRPr="00F04F28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la autoridad demandada en momento alguno ha dado cumplimiento a las obligaciones que le atañen; ya que debe acreditar haber prestado el servicio, y luego proporcionarle información precisa y detallada, de que volumen y tarifa está cobrando; y que debe de proporcionársele el líquido necesario para satisfacer sus necesidades básicas</w:t>
      </w:r>
      <w:r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; </w:t>
      </w:r>
      <w:r w:rsidRPr="007407F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argumentos que, para quien resuelve, conllevan a considerar que los conceptos y rubros contenidos en el recibo admitido como prueba</w:t>
      </w:r>
      <w:r w:rsidR="001F0227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al actor, </w:t>
      </w:r>
      <w:r w:rsidRPr="007407F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carezcan de </w:t>
      </w:r>
      <w:r w:rsidR="001F0227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una suficiente </w:t>
      </w:r>
      <w:r w:rsidRPr="007407F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fundamentación y motivación . . . . . . . . . . . . . . . . . . . .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. . . . . . . . . . . . . </w:t>
      </w:r>
      <w:r w:rsidR="001F0227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. . </w:t>
      </w:r>
    </w:p>
    <w:p w:rsidR="00CD0927" w:rsidRPr="00F04F28" w:rsidRDefault="00CD0927" w:rsidP="00CD0927">
      <w:pPr>
        <w:pStyle w:val="Sangra3detindependiente"/>
        <w:ind w:firstLine="0"/>
        <w:rPr>
          <w:rFonts w:cs="Calibri"/>
          <w:color w:val="7F7F7F" w:themeColor="text1" w:themeTint="80"/>
        </w:rPr>
      </w:pPr>
    </w:p>
    <w:p w:rsidR="00CD0927" w:rsidRPr="00F04F28" w:rsidRDefault="00CD0927" w:rsidP="00CD0927">
      <w:pPr>
        <w:pStyle w:val="Sangra3detindependiente"/>
        <w:rPr>
          <w:rFonts w:cs="Calibri"/>
          <w:color w:val="7F7F7F" w:themeColor="text1" w:themeTint="80"/>
        </w:rPr>
      </w:pPr>
      <w:r w:rsidRPr="00F04F28">
        <w:rPr>
          <w:rFonts w:cs="Calibri"/>
          <w:color w:val="7F7F7F" w:themeColor="text1" w:themeTint="80"/>
        </w:rPr>
        <w:t>Por su parte, la autoridad demandada planteó que l</w:t>
      </w:r>
      <w:r w:rsidR="001F0227">
        <w:rPr>
          <w:rFonts w:cs="Calibri"/>
          <w:color w:val="7F7F7F" w:themeColor="text1" w:themeTint="80"/>
        </w:rPr>
        <w:t>os</w:t>
      </w:r>
      <w:r w:rsidRPr="00F04F28">
        <w:rPr>
          <w:rFonts w:cs="Calibri"/>
          <w:color w:val="7F7F7F" w:themeColor="text1" w:themeTint="80"/>
        </w:rPr>
        <w:t xml:space="preserve"> concepto</w:t>
      </w:r>
      <w:r w:rsidR="001F0227">
        <w:rPr>
          <w:rFonts w:cs="Calibri"/>
          <w:color w:val="7F7F7F" w:themeColor="text1" w:themeTint="80"/>
        </w:rPr>
        <w:t>s</w:t>
      </w:r>
      <w:r w:rsidRPr="00F04F28">
        <w:rPr>
          <w:rFonts w:cs="Calibri"/>
          <w:color w:val="7F7F7F" w:themeColor="text1" w:themeTint="80"/>
        </w:rPr>
        <w:t xml:space="preserve"> de impugnación vertido</w:t>
      </w:r>
      <w:r w:rsidR="001F0227">
        <w:rPr>
          <w:rFonts w:cs="Calibri"/>
          <w:color w:val="7F7F7F" w:themeColor="text1" w:themeTint="80"/>
        </w:rPr>
        <w:t>s</w:t>
      </w:r>
      <w:r w:rsidRPr="00F04F28">
        <w:rPr>
          <w:rFonts w:cs="Calibri"/>
          <w:color w:val="7F7F7F" w:themeColor="text1" w:themeTint="80"/>
        </w:rPr>
        <w:t xml:space="preserve"> por l</w:t>
      </w:r>
      <w:r>
        <w:rPr>
          <w:rFonts w:cs="Calibri"/>
          <w:color w:val="7F7F7F" w:themeColor="text1" w:themeTint="80"/>
        </w:rPr>
        <w:t>a</w:t>
      </w:r>
      <w:r w:rsidRPr="00F04F28">
        <w:rPr>
          <w:rFonts w:cs="Calibri"/>
          <w:color w:val="7F7F7F" w:themeColor="text1" w:themeTint="80"/>
        </w:rPr>
        <w:t xml:space="preserve"> actor</w:t>
      </w:r>
      <w:r>
        <w:rPr>
          <w:rFonts w:cs="Calibri"/>
          <w:color w:val="7F7F7F" w:themeColor="text1" w:themeTint="80"/>
        </w:rPr>
        <w:t>a</w:t>
      </w:r>
      <w:r w:rsidRPr="00F04F28">
        <w:rPr>
          <w:rFonts w:cs="Calibri"/>
          <w:color w:val="7F7F7F" w:themeColor="text1" w:themeTint="80"/>
        </w:rPr>
        <w:t xml:space="preserve"> s</w:t>
      </w:r>
      <w:r w:rsidR="001F0227">
        <w:rPr>
          <w:rFonts w:cs="Calibri"/>
          <w:color w:val="7F7F7F" w:themeColor="text1" w:themeTint="80"/>
        </w:rPr>
        <w:t>on</w:t>
      </w:r>
      <w:r w:rsidRPr="00F04F28">
        <w:rPr>
          <w:rFonts w:cs="Calibri"/>
          <w:color w:val="7F7F7F" w:themeColor="text1" w:themeTint="80"/>
        </w:rPr>
        <w:t xml:space="preserve"> infundado</w:t>
      </w:r>
      <w:r w:rsidR="001F0227">
        <w:rPr>
          <w:rFonts w:cs="Calibri"/>
          <w:color w:val="7F7F7F" w:themeColor="text1" w:themeTint="80"/>
        </w:rPr>
        <w:t>s</w:t>
      </w:r>
      <w:r w:rsidRPr="00F04F28">
        <w:rPr>
          <w:rFonts w:cs="Calibri"/>
          <w:color w:val="7F7F7F" w:themeColor="text1" w:themeTint="80"/>
        </w:rPr>
        <w:t xml:space="preserve"> e inoperante</w:t>
      </w:r>
      <w:r w:rsidR="001F0227">
        <w:rPr>
          <w:rFonts w:cs="Calibri"/>
          <w:color w:val="7F7F7F" w:themeColor="text1" w:themeTint="80"/>
        </w:rPr>
        <w:t>s</w:t>
      </w:r>
      <w:r w:rsidRPr="00F04F28">
        <w:rPr>
          <w:rFonts w:cs="Calibri"/>
          <w:color w:val="7F7F7F" w:themeColor="text1" w:themeTint="80"/>
        </w:rPr>
        <w:t xml:space="preserve">. . </w:t>
      </w:r>
      <w:r w:rsidR="001F0227">
        <w:rPr>
          <w:rFonts w:cs="Calibri"/>
          <w:color w:val="7F7F7F" w:themeColor="text1" w:themeTint="80"/>
        </w:rPr>
        <w:t xml:space="preserve">. . . . . . . . . . . . </w:t>
      </w:r>
    </w:p>
    <w:p w:rsidR="00CD0927" w:rsidRDefault="00CD0927" w:rsidP="00CD0927">
      <w:pPr>
        <w:pStyle w:val="Sangra3detindependiente"/>
        <w:rPr>
          <w:rFonts w:cs="Calibri"/>
          <w:color w:val="7F7F7F" w:themeColor="text1" w:themeTint="80"/>
        </w:rPr>
      </w:pPr>
    </w:p>
    <w:p w:rsidR="00CD0927" w:rsidRPr="00D952DE" w:rsidRDefault="00CD0927" w:rsidP="00CD0927">
      <w:pPr>
        <w:ind w:firstLine="708"/>
        <w:jc w:val="both"/>
        <w:rPr>
          <w:rFonts w:asciiTheme="minorHAnsi" w:hAnsiTheme="minorHAnsi" w:cstheme="minorHAnsi"/>
          <w:color w:val="767171" w:themeColor="background2" w:themeShade="80"/>
          <w:sz w:val="26"/>
          <w:szCs w:val="26"/>
        </w:rPr>
      </w:pPr>
      <w:r w:rsidRPr="00FA7983">
        <w:rPr>
          <w:rFonts w:ascii="Calibri" w:hAnsi="Calibri"/>
          <w:color w:val="767171" w:themeColor="background2" w:themeShade="80"/>
          <w:sz w:val="26"/>
          <w:szCs w:val="26"/>
        </w:rPr>
        <w:t>Analizado que es el recibo emitido por S</w:t>
      </w:r>
      <w:r>
        <w:rPr>
          <w:rFonts w:ascii="Calibri" w:hAnsi="Calibri"/>
          <w:color w:val="767171" w:themeColor="background2" w:themeShade="80"/>
          <w:sz w:val="26"/>
          <w:szCs w:val="26"/>
        </w:rPr>
        <w:t>istema de Agua Potable y Alcantarillado de León</w:t>
      </w:r>
      <w:r w:rsidRPr="00FA7983">
        <w:rPr>
          <w:rFonts w:ascii="Calibri" w:hAnsi="Calibri"/>
          <w:color w:val="767171" w:themeColor="background2" w:themeShade="80"/>
          <w:sz w:val="26"/>
          <w:szCs w:val="26"/>
        </w:rPr>
        <w:t xml:space="preserve"> y lo argumentado por las partes, este </w:t>
      </w:r>
      <w:r>
        <w:rPr>
          <w:rFonts w:ascii="Calibri" w:hAnsi="Calibri"/>
          <w:bCs/>
          <w:color w:val="767171" w:themeColor="background2" w:themeShade="80"/>
          <w:sz w:val="26"/>
        </w:rPr>
        <w:t xml:space="preserve">Juzgador estima que es </w:t>
      </w:r>
      <w:r w:rsidRPr="00FA7983">
        <w:rPr>
          <w:rFonts w:ascii="Calibri" w:hAnsi="Calibri"/>
          <w:b/>
          <w:color w:val="767171" w:themeColor="background2" w:themeShade="80"/>
          <w:sz w:val="26"/>
        </w:rPr>
        <w:t>fundado</w:t>
      </w:r>
      <w:r w:rsidRPr="00FA7983">
        <w:rPr>
          <w:rFonts w:ascii="Calibri" w:hAnsi="Calibri"/>
          <w:bCs/>
          <w:color w:val="767171" w:themeColor="background2" w:themeShade="80"/>
          <w:sz w:val="26"/>
        </w:rPr>
        <w:t xml:space="preserve"> tal concepto de impugnación; </w:t>
      </w:r>
      <w:r w:rsidRPr="00FB506A">
        <w:rPr>
          <w:rFonts w:ascii="Calibri" w:hAnsi="Calibri"/>
          <w:bCs/>
          <w:color w:val="767171" w:themeColor="background2" w:themeShade="80"/>
          <w:sz w:val="26"/>
        </w:rPr>
        <w:t>pues los actos impugnados no cumplen con el elemento de validez de los actos administrativos, contenido en la fracción VI del artículo 137 del Código de Procedimiento y Justicia Administrativa en vigor en el Estado, que es</w:t>
      </w:r>
      <w:r w:rsidR="001712AC">
        <w:rPr>
          <w:rFonts w:ascii="Calibri" w:hAnsi="Calibri"/>
          <w:bCs/>
          <w:color w:val="767171" w:themeColor="background2" w:themeShade="80"/>
          <w:sz w:val="26"/>
        </w:rPr>
        <w:t>triba en que deben</w:t>
      </w:r>
      <w:r w:rsidRPr="00FB506A">
        <w:rPr>
          <w:rFonts w:ascii="Calibri" w:hAnsi="Calibri"/>
          <w:bCs/>
          <w:color w:val="767171" w:themeColor="background2" w:themeShade="80"/>
          <w:sz w:val="26"/>
        </w:rPr>
        <w:t xml:space="preserve"> estar </w:t>
      </w:r>
      <w:r w:rsidR="001712AC">
        <w:rPr>
          <w:rFonts w:ascii="Calibri" w:hAnsi="Calibri"/>
          <w:bCs/>
          <w:color w:val="767171" w:themeColor="background2" w:themeShade="80"/>
          <w:sz w:val="26"/>
        </w:rPr>
        <w:t xml:space="preserve">tales </w:t>
      </w:r>
      <w:r w:rsidRPr="00FB506A">
        <w:rPr>
          <w:rFonts w:ascii="Calibri" w:hAnsi="Calibri"/>
          <w:bCs/>
          <w:color w:val="767171" w:themeColor="background2" w:themeShade="80"/>
          <w:sz w:val="26"/>
        </w:rPr>
        <w:t xml:space="preserve">debidamente fundados y motivados, pues de </w:t>
      </w:r>
      <w:r w:rsidRPr="00FA7983">
        <w:rPr>
          <w:rFonts w:ascii="Calibri" w:hAnsi="Calibri"/>
          <w:bCs/>
          <w:color w:val="767171" w:themeColor="background2" w:themeShade="80"/>
          <w:sz w:val="26"/>
        </w:rPr>
        <w:t xml:space="preserve">dicho recibo </w:t>
      </w:r>
      <w:r>
        <w:rPr>
          <w:rFonts w:ascii="Calibri" w:hAnsi="Calibri"/>
          <w:bCs/>
          <w:color w:val="767171" w:themeColor="background2" w:themeShade="80"/>
          <w:sz w:val="26"/>
        </w:rPr>
        <w:t xml:space="preserve">con </w:t>
      </w:r>
      <w:r w:rsidRPr="00FA7983">
        <w:rPr>
          <w:rFonts w:ascii="Calibri" w:hAnsi="Calibri"/>
          <w:color w:val="767171" w:themeColor="background2" w:themeShade="80"/>
          <w:sz w:val="26"/>
          <w:szCs w:val="26"/>
        </w:rPr>
        <w:t>número</w:t>
      </w:r>
      <w:r w:rsidR="0009271C">
        <w:rPr>
          <w:rFonts w:ascii="Calibri" w:hAnsi="Calibri"/>
          <w:color w:val="767171" w:themeColor="background2" w:themeShade="80"/>
          <w:sz w:val="26"/>
          <w:szCs w:val="26"/>
        </w:rPr>
        <w:t xml:space="preserve"> </w:t>
      </w:r>
      <w:r w:rsidR="0009271C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A 31544662 (A tres-uno-cinco-cuatro-cuatro-seis-seis-dos);</w:t>
      </w:r>
      <w:r w:rsidRPr="00D952DE">
        <w:rPr>
          <w:rFonts w:ascii="Calibri" w:hAnsi="Calibri"/>
          <w:bCs/>
          <w:color w:val="767171" w:themeColor="background2" w:themeShade="80"/>
          <w:sz w:val="26"/>
        </w:rPr>
        <w:t xml:space="preserve"> no se desprende el sustento leg</w:t>
      </w:r>
      <w:r w:rsidR="0009271C">
        <w:rPr>
          <w:rFonts w:ascii="Calibri" w:hAnsi="Calibri"/>
          <w:bCs/>
          <w:color w:val="767171" w:themeColor="background2" w:themeShade="80"/>
          <w:sz w:val="26"/>
        </w:rPr>
        <w:t>al para efectuar los cobros en é</w:t>
      </w:r>
      <w:r w:rsidRPr="00D952DE">
        <w:rPr>
          <w:rFonts w:ascii="Calibri" w:hAnsi="Calibri"/>
          <w:bCs/>
          <w:color w:val="767171" w:themeColor="background2" w:themeShade="80"/>
          <w:sz w:val="26"/>
        </w:rPr>
        <w:t>l consignados</w:t>
      </w:r>
      <w:r w:rsidR="0009271C">
        <w:rPr>
          <w:rFonts w:ascii="Calibri" w:hAnsi="Calibri"/>
          <w:bCs/>
          <w:color w:val="767171" w:themeColor="background2" w:themeShade="80"/>
          <w:sz w:val="26"/>
        </w:rPr>
        <w:t>,</w:t>
      </w:r>
      <w:r w:rsidRPr="00D952DE">
        <w:rPr>
          <w:rFonts w:ascii="Calibri" w:hAnsi="Calibri"/>
          <w:bCs/>
          <w:color w:val="767171" w:themeColor="background2" w:themeShade="80"/>
          <w:sz w:val="26"/>
        </w:rPr>
        <w:t xml:space="preserve"> ni para realizar el apercibimiento de suspender el servicio de agua potable; así como tampoco </w:t>
      </w:r>
      <w:r>
        <w:rPr>
          <w:rFonts w:ascii="Calibri" w:hAnsi="Calibri"/>
          <w:bCs/>
          <w:color w:val="767171" w:themeColor="background2" w:themeShade="80"/>
          <w:sz w:val="26"/>
        </w:rPr>
        <w:t>los motivó</w:t>
      </w:r>
      <w:r w:rsidRPr="00D952DE">
        <w:rPr>
          <w:rFonts w:ascii="Calibri" w:hAnsi="Calibri"/>
          <w:bCs/>
          <w:color w:val="767171" w:themeColor="background2" w:themeShade="80"/>
          <w:sz w:val="26"/>
        </w:rPr>
        <w:t xml:space="preserve"> ya que no exp</w:t>
      </w:r>
      <w:r>
        <w:rPr>
          <w:rFonts w:ascii="Calibri" w:hAnsi="Calibri"/>
          <w:bCs/>
          <w:color w:val="767171" w:themeColor="background2" w:themeShade="80"/>
          <w:sz w:val="26"/>
        </w:rPr>
        <w:t>us</w:t>
      </w:r>
      <w:r w:rsidRPr="00D952DE">
        <w:rPr>
          <w:rFonts w:ascii="Calibri" w:hAnsi="Calibri"/>
          <w:bCs/>
          <w:color w:val="767171" w:themeColor="background2" w:themeShade="80"/>
          <w:sz w:val="26"/>
        </w:rPr>
        <w:t xml:space="preserve">o razonamientos lógico-jurídicos sobre </w:t>
      </w:r>
      <w:r w:rsidRPr="00E80596">
        <w:rPr>
          <w:rFonts w:ascii="Calibri" w:hAnsi="Calibri"/>
          <w:bCs/>
          <w:color w:val="767171" w:themeColor="background2" w:themeShade="80"/>
          <w:sz w:val="26"/>
        </w:rPr>
        <w:t>l</w:t>
      </w:r>
      <w:r w:rsidRPr="00FA7983">
        <w:rPr>
          <w:rFonts w:ascii="Calibri" w:hAnsi="Calibri"/>
          <w:bCs/>
          <w:color w:val="767171" w:themeColor="background2" w:themeShade="80"/>
          <w:sz w:val="26"/>
        </w:rPr>
        <w:t>a procedencia de</w:t>
      </w:r>
      <w:r>
        <w:rPr>
          <w:rFonts w:ascii="Calibri" w:hAnsi="Calibri"/>
          <w:bCs/>
          <w:color w:val="767171" w:themeColor="background2" w:themeShade="80"/>
          <w:sz w:val="26"/>
        </w:rPr>
        <w:t xml:space="preserve"> los </w:t>
      </w:r>
      <w:r w:rsidRPr="00FA7983">
        <w:rPr>
          <w:rFonts w:ascii="Calibri" w:hAnsi="Calibri"/>
          <w:bCs/>
          <w:color w:val="767171" w:themeColor="background2" w:themeShade="80"/>
          <w:sz w:val="26"/>
        </w:rPr>
        <w:t xml:space="preserve"> adeudo</w:t>
      </w:r>
      <w:r>
        <w:rPr>
          <w:rFonts w:ascii="Calibri" w:hAnsi="Calibri"/>
          <w:bCs/>
          <w:color w:val="767171" w:themeColor="background2" w:themeShade="80"/>
          <w:sz w:val="26"/>
        </w:rPr>
        <w:t>s</w:t>
      </w:r>
      <w:r w:rsidRPr="00FA7983">
        <w:rPr>
          <w:rFonts w:ascii="Calibri" w:hAnsi="Calibri"/>
          <w:bCs/>
          <w:color w:val="767171" w:themeColor="background2" w:themeShade="80"/>
          <w:sz w:val="26"/>
        </w:rPr>
        <w:t xml:space="preserve"> indicado</w:t>
      </w:r>
      <w:r>
        <w:rPr>
          <w:rFonts w:ascii="Calibri" w:hAnsi="Calibri"/>
          <w:bCs/>
          <w:color w:val="767171" w:themeColor="background2" w:themeShade="80"/>
          <w:sz w:val="26"/>
        </w:rPr>
        <w:t>s</w:t>
      </w:r>
      <w:r w:rsidRPr="00FA7983">
        <w:rPr>
          <w:rFonts w:ascii="Calibri" w:hAnsi="Calibri"/>
          <w:bCs/>
          <w:color w:val="767171" w:themeColor="background2" w:themeShade="80"/>
          <w:sz w:val="26"/>
        </w:rPr>
        <w:t xml:space="preserve"> en dicho documento, a partir del </w:t>
      </w:r>
      <w:r>
        <w:rPr>
          <w:rFonts w:ascii="Calibri" w:hAnsi="Calibri"/>
          <w:bCs/>
          <w:color w:val="767171" w:themeColor="background2" w:themeShade="80"/>
          <w:sz w:val="26"/>
        </w:rPr>
        <w:t>mes de s</w:t>
      </w:r>
      <w:r w:rsidR="0009271C">
        <w:rPr>
          <w:rFonts w:ascii="Calibri" w:hAnsi="Calibri"/>
          <w:bCs/>
          <w:color w:val="767171" w:themeColor="background2" w:themeShade="80"/>
          <w:sz w:val="26"/>
        </w:rPr>
        <w:t>eptiembre</w:t>
      </w:r>
      <w:r>
        <w:rPr>
          <w:rFonts w:ascii="Calibri" w:hAnsi="Calibri"/>
          <w:bCs/>
          <w:color w:val="767171" w:themeColor="background2" w:themeShade="80"/>
          <w:sz w:val="26"/>
        </w:rPr>
        <w:t xml:space="preserve"> de</w:t>
      </w:r>
      <w:r w:rsidRPr="00FA7983">
        <w:rPr>
          <w:rFonts w:ascii="Calibri" w:hAnsi="Calibri"/>
          <w:bCs/>
          <w:color w:val="767171" w:themeColor="background2" w:themeShade="80"/>
          <w:sz w:val="26"/>
        </w:rPr>
        <w:t>l año 201</w:t>
      </w:r>
      <w:r>
        <w:rPr>
          <w:rFonts w:ascii="Calibri" w:hAnsi="Calibri"/>
          <w:bCs/>
          <w:color w:val="767171" w:themeColor="background2" w:themeShade="80"/>
          <w:sz w:val="26"/>
        </w:rPr>
        <w:t>5</w:t>
      </w:r>
      <w:r w:rsidRPr="00FA7983">
        <w:rPr>
          <w:rFonts w:ascii="Calibri" w:hAnsi="Calibri"/>
          <w:bCs/>
          <w:color w:val="767171" w:themeColor="background2" w:themeShade="80"/>
          <w:sz w:val="26"/>
        </w:rPr>
        <w:t xml:space="preserve"> dos mil </w:t>
      </w:r>
      <w:r>
        <w:rPr>
          <w:rFonts w:ascii="Calibri" w:hAnsi="Calibri"/>
          <w:bCs/>
          <w:color w:val="767171" w:themeColor="background2" w:themeShade="80"/>
          <w:sz w:val="26"/>
        </w:rPr>
        <w:t>quin</w:t>
      </w:r>
      <w:r w:rsidRPr="00FA7983">
        <w:rPr>
          <w:rFonts w:ascii="Calibri" w:hAnsi="Calibri"/>
          <w:bCs/>
          <w:color w:val="767171" w:themeColor="background2" w:themeShade="80"/>
          <w:sz w:val="26"/>
        </w:rPr>
        <w:t>ce</w:t>
      </w:r>
      <w:r>
        <w:rPr>
          <w:rFonts w:ascii="Calibri" w:hAnsi="Calibri"/>
          <w:bCs/>
          <w:color w:val="767171" w:themeColor="background2" w:themeShade="80"/>
          <w:sz w:val="26"/>
        </w:rPr>
        <w:t xml:space="preserve">, pues 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no quedó</w:t>
      </w:r>
      <w:r w:rsidRPr="00FA7983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detallado </w:t>
      </w:r>
      <w:r w:rsidRPr="00D952D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y desglosado, como es </w:t>
      </w:r>
      <w:r w:rsidRPr="00FA7983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que se conformaron los conceptos de cobro; es decir, respecto del saldo anterior cuál era su origen y que lo integraba; como se calcularon los recargos </w:t>
      </w:r>
      <w:r w:rsidR="0009271C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y el aviso de adeudo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;</w:t>
      </w:r>
      <w:r w:rsidRPr="00D952D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así como tampoco 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indicó</w:t>
      </w:r>
      <w:r w:rsidRPr="00D952D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las causas que d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iero</w:t>
      </w:r>
      <w:r w:rsidRPr="00D952D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n lugar a 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menciona</w:t>
      </w:r>
      <w:r w:rsidRPr="00D952D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r que el servicio podr</w:t>
      </w:r>
      <w:r w:rsidR="00F9757F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ía</w:t>
      </w:r>
      <w:r w:rsidRPr="00D952DE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ser suspendido en cualquier momento. . . . .  . . . . . . . . . . . . . . . . . </w:t>
      </w:r>
      <w:r w:rsidR="00F9757F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. . . . . . . . . . . . . . </w:t>
      </w:r>
    </w:p>
    <w:p w:rsidR="00CD0927" w:rsidRDefault="00CD0927" w:rsidP="00CD0927">
      <w:pPr>
        <w:ind w:firstLine="708"/>
        <w:jc w:val="both"/>
        <w:rPr>
          <w:rFonts w:asciiTheme="minorHAnsi" w:hAnsiTheme="minorHAnsi" w:cstheme="minorHAnsi"/>
          <w:color w:val="767171" w:themeColor="background2" w:themeShade="80"/>
          <w:sz w:val="26"/>
          <w:szCs w:val="26"/>
        </w:rPr>
      </w:pPr>
    </w:p>
    <w:p w:rsidR="00CD0927" w:rsidRPr="00FA7983" w:rsidRDefault="00CD0927" w:rsidP="00CD0927">
      <w:pPr>
        <w:ind w:firstLine="708"/>
        <w:jc w:val="both"/>
        <w:rPr>
          <w:rFonts w:ascii="Calibri" w:hAnsi="Calibri"/>
          <w:bCs/>
          <w:color w:val="767171" w:themeColor="background2" w:themeShade="80"/>
          <w:sz w:val="26"/>
        </w:rPr>
      </w:pPr>
      <w:r w:rsidRPr="00FA7983">
        <w:rPr>
          <w:rFonts w:ascii="Calibri" w:hAnsi="Calibri" w:cs="Arial"/>
          <w:bCs/>
          <w:iCs/>
          <w:color w:val="767171" w:themeColor="background2" w:themeShade="80"/>
          <w:sz w:val="26"/>
          <w:szCs w:val="20"/>
        </w:rPr>
        <w:t xml:space="preserve">Así las cosas y toda vez que </w:t>
      </w:r>
      <w:r w:rsidRPr="00FA7983">
        <w:rPr>
          <w:rFonts w:ascii="Calibri" w:hAnsi="Calibri"/>
          <w:bCs/>
          <w:color w:val="767171" w:themeColor="background2" w:themeShade="80"/>
          <w:sz w:val="26"/>
        </w:rPr>
        <w:t xml:space="preserve">los actos de molestia que afecten la esfera jurídica de los particulares, para ser legales requieren que, entre otros requisitos, sean emitidos, con la debida fundamentación y motivación; lo que en la especie, </w:t>
      </w:r>
      <w:r w:rsidRPr="00FA7983">
        <w:rPr>
          <w:rFonts w:ascii="Calibri" w:hAnsi="Calibri"/>
          <w:bCs/>
          <w:color w:val="767171" w:themeColor="background2" w:themeShade="80"/>
          <w:sz w:val="26"/>
        </w:rPr>
        <w:lastRenderedPageBreak/>
        <w:t xml:space="preserve">en el caso concreto, no se dio; se actualiza de esta manera </w:t>
      </w:r>
      <w:r w:rsidRPr="00FA7983">
        <w:rPr>
          <w:rFonts w:ascii="Calibri" w:hAnsi="Calibri" w:cs="Arial"/>
          <w:bCs/>
          <w:color w:val="767171" w:themeColor="background2" w:themeShade="80"/>
          <w:sz w:val="26"/>
        </w:rPr>
        <w:t xml:space="preserve">la causa de ilegalidad prevista en la fracción II del artículo 302 del Código de Procedimiento y Justicia Administrativa para el Estado y los Municipios de Guanajuato; por lo que con fundamento en lo dispuesto en el artículo 300, fracción II, del mismo ordenamiento; procede </w:t>
      </w:r>
      <w:r w:rsidRPr="00FA7983">
        <w:rPr>
          <w:rFonts w:ascii="Calibri" w:hAnsi="Calibri" w:cs="Arial"/>
          <w:bCs/>
          <w:iCs/>
          <w:color w:val="767171" w:themeColor="background2" w:themeShade="80"/>
          <w:sz w:val="26"/>
        </w:rPr>
        <w:t xml:space="preserve">decretar la </w:t>
      </w:r>
      <w:r w:rsidRPr="00FA7983">
        <w:rPr>
          <w:rFonts w:ascii="Calibri" w:hAnsi="Calibri" w:cs="Arial"/>
          <w:b/>
          <w:bCs/>
          <w:iCs/>
          <w:color w:val="767171" w:themeColor="background2" w:themeShade="80"/>
          <w:sz w:val="26"/>
        </w:rPr>
        <w:t xml:space="preserve">nulidad total </w:t>
      </w:r>
      <w:r w:rsidRPr="00FA7983">
        <w:rPr>
          <w:rFonts w:ascii="Calibri" w:hAnsi="Calibri" w:cs="Arial"/>
          <w:bCs/>
          <w:color w:val="767171" w:themeColor="background2" w:themeShade="80"/>
          <w:sz w:val="26"/>
        </w:rPr>
        <w:t>de</w:t>
      </w:r>
      <w:r>
        <w:rPr>
          <w:rFonts w:ascii="Calibri" w:hAnsi="Calibri" w:cs="Arial"/>
          <w:bCs/>
          <w:color w:val="767171" w:themeColor="background2" w:themeShade="80"/>
          <w:sz w:val="26"/>
        </w:rPr>
        <w:t xml:space="preserve"> los </w:t>
      </w:r>
      <w:r w:rsidRPr="00C436C1">
        <w:rPr>
          <w:rFonts w:ascii="Calibri" w:hAnsi="Calibri" w:cs="Arial"/>
          <w:b/>
          <w:bCs/>
          <w:color w:val="767171" w:themeColor="background2" w:themeShade="80"/>
          <w:sz w:val="26"/>
        </w:rPr>
        <w:t>conceptos de cobro</w:t>
      </w:r>
      <w:r>
        <w:rPr>
          <w:rFonts w:ascii="Calibri" w:hAnsi="Calibri" w:cs="Arial"/>
          <w:bCs/>
          <w:color w:val="767171" w:themeColor="background2" w:themeShade="80"/>
          <w:sz w:val="26"/>
        </w:rPr>
        <w:t xml:space="preserve"> contenidos en e</w:t>
      </w:r>
      <w:r w:rsidRPr="00FA7983">
        <w:rPr>
          <w:rFonts w:ascii="Calibri" w:hAnsi="Calibri" w:cs="Calibri"/>
          <w:color w:val="767171" w:themeColor="background2" w:themeShade="80"/>
          <w:sz w:val="26"/>
          <w:szCs w:val="26"/>
        </w:rPr>
        <w:t>l</w:t>
      </w:r>
      <w:r>
        <w:rPr>
          <w:rFonts w:ascii="Calibri" w:hAnsi="Calibri" w:cs="Calibri"/>
          <w:color w:val="767171" w:themeColor="background2" w:themeShade="80"/>
          <w:sz w:val="26"/>
          <w:szCs w:val="26"/>
        </w:rPr>
        <w:t xml:space="preserve"> recibo con número</w:t>
      </w:r>
      <w:r w:rsidR="0009271C">
        <w:rPr>
          <w:rFonts w:ascii="Calibri" w:hAnsi="Calibri" w:cs="Calibri"/>
          <w:color w:val="767171" w:themeColor="background2" w:themeShade="80"/>
          <w:sz w:val="26"/>
          <w:szCs w:val="26"/>
        </w:rPr>
        <w:t xml:space="preserve"> </w:t>
      </w:r>
      <w:r w:rsidR="0009271C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A 31544662 (A tres-uno-cinco-cuatro-cuatro-seis-seis-dos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, que suman </w:t>
      </w:r>
      <w:r w:rsidR="0009271C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l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a cantidad total a paga</w:t>
      </w:r>
      <w:r w:rsidR="0009271C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r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</w:t>
      </w:r>
      <w:r w:rsidR="0009271C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de </w:t>
      </w:r>
      <w:r w:rsidR="0009271C">
        <w:rPr>
          <w:rFonts w:ascii="Calibri" w:hAnsi="Calibri"/>
          <w:color w:val="767171" w:themeColor="background2" w:themeShade="80"/>
          <w:sz w:val="26"/>
          <w:szCs w:val="26"/>
        </w:rPr>
        <w:t>$2,045.90 (Dos mil cuarenta y cinco pesos 90/100 Moneda Nacional),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así como del </w:t>
      </w:r>
      <w:r w:rsidRPr="00C436C1">
        <w:rPr>
          <w:rFonts w:asciiTheme="minorHAnsi" w:hAnsiTheme="minorHAnsi" w:cstheme="minorHAnsi"/>
          <w:b/>
          <w:color w:val="767171" w:themeColor="background2" w:themeShade="80"/>
          <w:sz w:val="26"/>
          <w:szCs w:val="26"/>
        </w:rPr>
        <w:t>apercibimiento de suspenderle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el servicio de agua potable, </w:t>
      </w:r>
      <w:r w:rsidRPr="008A4C6E">
        <w:rPr>
          <w:rFonts w:ascii="Calibri" w:hAnsi="Calibri" w:cs="Calibri"/>
          <w:color w:val="767171" w:themeColor="background2" w:themeShade="80"/>
          <w:sz w:val="26"/>
          <w:szCs w:val="26"/>
        </w:rPr>
        <w:t xml:space="preserve">respecto del inmueble ubicado en </w:t>
      </w:r>
      <w:r w:rsidR="00874652">
        <w:rPr>
          <w:rFonts w:ascii="Calibri" w:hAnsi="Calibri" w:cs="Calibri"/>
          <w:color w:val="767171" w:themeColor="background2" w:themeShade="80"/>
          <w:sz w:val="26"/>
          <w:szCs w:val="26"/>
        </w:rPr>
        <w:t>*****</w:t>
      </w:r>
      <w:r w:rsidRPr="008A4C6E">
        <w:rPr>
          <w:rFonts w:ascii="Calibri" w:hAnsi="Calibri" w:cs="Calibri"/>
          <w:color w:val="767171" w:themeColor="background2" w:themeShade="80"/>
          <w:sz w:val="26"/>
          <w:szCs w:val="26"/>
        </w:rPr>
        <w:t>, de esta ciudad</w:t>
      </w:r>
      <w:r w:rsidRPr="00FA7983">
        <w:rPr>
          <w:rFonts w:ascii="Calibri" w:hAnsi="Calibri" w:cs="Calibri"/>
          <w:color w:val="767171" w:themeColor="background2" w:themeShade="80"/>
          <w:sz w:val="26"/>
          <w:szCs w:val="26"/>
        </w:rPr>
        <w:t xml:space="preserve"> . . . . . . . . . . . . . </w:t>
      </w:r>
      <w:r>
        <w:rPr>
          <w:rFonts w:ascii="Calibri" w:hAnsi="Calibri" w:cs="Calibri"/>
          <w:color w:val="767171" w:themeColor="background2" w:themeShade="80"/>
          <w:sz w:val="26"/>
          <w:szCs w:val="26"/>
        </w:rPr>
        <w:t>. . . . . . . . . . . . . . . . . . . .</w:t>
      </w:r>
      <w:r w:rsidR="00BE31D4">
        <w:rPr>
          <w:rFonts w:ascii="Calibri" w:hAnsi="Calibri" w:cs="Calibri"/>
          <w:color w:val="767171" w:themeColor="background2" w:themeShade="80"/>
          <w:sz w:val="26"/>
          <w:szCs w:val="26"/>
        </w:rPr>
        <w:t xml:space="preserve"> . . . . . . </w:t>
      </w:r>
    </w:p>
    <w:p w:rsidR="00CD0927" w:rsidRDefault="00CD0927" w:rsidP="0009271C">
      <w:pPr>
        <w:jc w:val="both"/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</w:pPr>
    </w:p>
    <w:p w:rsidR="00B944D1" w:rsidRPr="0067444C" w:rsidRDefault="0009271C" w:rsidP="00BE31D4">
      <w:pPr>
        <w:pStyle w:val="Textoindependienteprimerasangra"/>
        <w:ind w:firstLine="0"/>
        <w:jc w:val="both"/>
        <w:rPr>
          <w:rFonts w:asciiTheme="minorHAnsi" w:hAnsiTheme="minorHAnsi" w:cstheme="minorHAnsi"/>
          <w:color w:val="767171" w:themeColor="background2" w:themeShade="80"/>
          <w:sz w:val="26"/>
          <w:szCs w:val="26"/>
        </w:rPr>
      </w:pPr>
      <w:r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ab/>
        <w:t xml:space="preserve">No obstante lo anterior, del monto que debe calcular el organismo operador del agua demandado, debe restarse el monto pagado por el demandante el día </w:t>
      </w:r>
      <w:r w:rsidR="006C0608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>10 diez de noviembre del año 2015 dos mil quince, por la cantidad de $ 1,030.00 (Un mil treinta pesos 00/100 Moneda Nacional), según se desprende de la impresión del sistema de consulta de res</w:t>
      </w:r>
      <w:r w:rsidR="00BE31D4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>ultados de ejecuciones de SAPAL,</w:t>
      </w:r>
      <w:r w:rsidR="006C0608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 xml:space="preserve"> de la cuenta número 55532, del inmueble ubicado en </w:t>
      </w:r>
      <w:r w:rsidR="006C0608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Golfo de Tehuantepec número 405 cuatrocientos cinco, de la colonia Santa María del </w:t>
      </w:r>
      <w:proofErr w:type="spellStart"/>
      <w:r w:rsidR="006C0608">
        <w:rPr>
          <w:rFonts w:asciiTheme="minorHAnsi" w:hAnsiTheme="minorHAnsi"/>
          <w:color w:val="767171" w:themeColor="background2" w:themeShade="80"/>
          <w:sz w:val="26"/>
          <w:szCs w:val="26"/>
        </w:rPr>
        <w:t>Granjeno</w:t>
      </w:r>
      <w:proofErr w:type="spellEnd"/>
      <w:r w:rsidR="006C0608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, y a nombre del ciudadano </w:t>
      </w:r>
      <w:r w:rsidR="00730044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*****</w:t>
      </w:r>
      <w:r w:rsidR="006C0608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; </w:t>
      </w:r>
      <w:r w:rsidR="006C0608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 xml:space="preserve">consultado, según se advierte en el mismo, el día uno de diciembre del año 2015 dos mil quince y que es visible a foja 28 veintiocho del expediente, y al que se le otorga pleno valor probatorio, en términos de lo señalado en los artículos </w:t>
      </w:r>
      <w:r w:rsidR="00B944D1"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78, 113, 117, 118, 121, 122  y 131 del Código de Procedimiento y Justicia Administrativa para el Estado y los Municipios de Guanajuato</w:t>
      </w:r>
      <w:r w:rsidR="00B944D1" w:rsidRPr="0067444C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. . . . . . . . . . . . . . . . . . . . . . . . . . . . </w:t>
      </w:r>
      <w:r w:rsidR="00B944D1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. . . . . . . . . . . . . . . . </w:t>
      </w:r>
    </w:p>
    <w:p w:rsidR="0009271C" w:rsidRDefault="0009271C" w:rsidP="0009271C">
      <w:pPr>
        <w:jc w:val="both"/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</w:pPr>
    </w:p>
    <w:p w:rsidR="00CD0927" w:rsidRPr="00BC3C4B" w:rsidRDefault="00CD0927" w:rsidP="00CD0927">
      <w:pPr>
        <w:pStyle w:val="Sangra2detindependiente"/>
        <w:spacing w:line="240" w:lineRule="auto"/>
        <w:ind w:left="0" w:firstLine="708"/>
        <w:jc w:val="both"/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</w:pPr>
      <w:r w:rsidRPr="0089187B">
        <w:rPr>
          <w:rFonts w:asciiTheme="minorHAnsi" w:hAnsiTheme="minorHAnsi" w:cs="Arial"/>
          <w:b/>
          <w:i/>
          <w:color w:val="767171" w:themeColor="background2" w:themeShade="80"/>
          <w:sz w:val="26"/>
          <w:szCs w:val="26"/>
        </w:rPr>
        <w:t>SEPTIMO</w:t>
      </w:r>
      <w:r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 xml:space="preserve">.- </w:t>
      </w:r>
      <w:r w:rsidRPr="00BC3C4B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>En virtud de que el argume</w:t>
      </w:r>
      <w:r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 xml:space="preserve">nto analizado en el concepto de </w:t>
      </w:r>
      <w:r w:rsidRPr="00BC3C4B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 xml:space="preserve">impugnación que se estudió, contenido en el escrito de demanda, resultó </w:t>
      </w:r>
      <w:r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 xml:space="preserve">fundado </w:t>
      </w:r>
      <w:r w:rsidRPr="00BC3C4B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>y es suficiente para decretar la nulidad total de los actos impugnados; resulta innecesario el estudio de los restantes, ya que ello no cambiaría, ni afectar</w:t>
      </w:r>
      <w:r w:rsidRPr="00735971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>ía el sentido de esta resolución</w:t>
      </w:r>
      <w:r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>;</w:t>
      </w:r>
      <w:r w:rsidRPr="00735971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 xml:space="preserve"> resaltando que para este juzgador, </w:t>
      </w:r>
      <w:r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lo expuesto por el actor en los </w:t>
      </w:r>
      <w:r w:rsidRPr="00F04F28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puntos señalados con los números 1 uno al </w:t>
      </w:r>
      <w:r>
        <w:rPr>
          <w:rFonts w:asciiTheme="minorHAnsi" w:hAnsiTheme="minorHAnsi" w:cstheme="minorHAnsi"/>
          <w:color w:val="7F7F7F" w:themeColor="text1" w:themeTint="80"/>
          <w:sz w:val="26"/>
          <w:szCs w:val="26"/>
        </w:rPr>
        <w:t>6</w:t>
      </w:r>
      <w:r w:rsidRPr="00F04F28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 </w:t>
      </w:r>
      <w:r>
        <w:rPr>
          <w:rFonts w:asciiTheme="minorHAnsi" w:hAnsiTheme="minorHAnsi" w:cstheme="minorHAnsi"/>
          <w:color w:val="7F7F7F" w:themeColor="text1" w:themeTint="80"/>
          <w:sz w:val="26"/>
          <w:szCs w:val="26"/>
        </w:rPr>
        <w:t>s</w:t>
      </w:r>
      <w:r w:rsidRPr="00F04F28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e</w:t>
      </w:r>
      <w:r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is (este en su primer párrafo), </w:t>
      </w:r>
      <w:r w:rsidRPr="00735971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no constituyen verdaderos conceptos de impugnación, ya </w:t>
      </w:r>
      <w:r>
        <w:rPr>
          <w:rFonts w:asciiTheme="minorHAnsi" w:hAnsiTheme="minorHAnsi" w:cstheme="minorHAnsi"/>
          <w:color w:val="7F7F7F" w:themeColor="text1" w:themeTint="80"/>
          <w:sz w:val="26"/>
          <w:szCs w:val="26"/>
        </w:rPr>
        <w:t>que el impugnador só</w:t>
      </w:r>
      <w:r w:rsidRPr="00F04F28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lo se refir</w:t>
      </w:r>
      <w:r w:rsidR="00B944D1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ió</w:t>
      </w:r>
      <w:r w:rsidRPr="00F04F28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 de manera genérica</w:t>
      </w:r>
      <w:r>
        <w:rPr>
          <w:rFonts w:asciiTheme="minorHAnsi" w:hAnsiTheme="minorHAnsi" w:cstheme="minorHAnsi"/>
          <w:color w:val="7F7F7F" w:themeColor="text1" w:themeTint="80"/>
          <w:sz w:val="26"/>
          <w:szCs w:val="26"/>
        </w:rPr>
        <w:t>,</w:t>
      </w:r>
      <w:r w:rsidRPr="00F04F28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 a lo que establecen diversas normas</w:t>
      </w:r>
      <w:r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 sobre el acceso al agua</w:t>
      </w:r>
      <w:r w:rsidRPr="00BC3C4B">
        <w:rPr>
          <w:rFonts w:ascii="Calibri" w:hAnsi="Calibri" w:cs="Calibri"/>
          <w:bCs/>
          <w:iCs/>
          <w:color w:val="767171" w:themeColor="background2" w:themeShade="80"/>
          <w:sz w:val="26"/>
          <w:szCs w:val="26"/>
        </w:rPr>
        <w:t xml:space="preserve">. . . . . . . . . . . . . . . . . . . . . . . . . . </w:t>
      </w:r>
    </w:p>
    <w:p w:rsidR="00960E20" w:rsidRDefault="00960E20" w:rsidP="00960E20">
      <w:pPr>
        <w:pStyle w:val="Textoindependienteprimerasangra"/>
        <w:ind w:firstLine="708"/>
        <w:jc w:val="right"/>
        <w:rPr>
          <w:rFonts w:asciiTheme="minorHAnsi" w:hAnsiTheme="minorHAnsi" w:cstheme="minorHAnsi"/>
          <w:b/>
          <w:color w:val="767171" w:themeColor="background2" w:themeShade="80"/>
          <w:sz w:val="26"/>
          <w:szCs w:val="26"/>
        </w:rPr>
      </w:pPr>
      <w:r>
        <w:rPr>
          <w:rFonts w:asciiTheme="minorHAnsi" w:hAnsiTheme="minorHAnsi" w:cstheme="minorHAnsi"/>
          <w:b/>
          <w:color w:val="767171" w:themeColor="background2" w:themeShade="80"/>
          <w:sz w:val="26"/>
          <w:szCs w:val="26"/>
        </w:rPr>
        <w:t>Expediente número 972/2015-JN</w:t>
      </w:r>
    </w:p>
    <w:p w:rsidR="00960E20" w:rsidRDefault="00960E20" w:rsidP="00CD0927">
      <w:pPr>
        <w:pStyle w:val="Sangra2detindependiente"/>
        <w:spacing w:line="240" w:lineRule="auto"/>
        <w:ind w:left="0" w:firstLine="708"/>
        <w:jc w:val="both"/>
        <w:rPr>
          <w:rFonts w:asciiTheme="minorHAnsi" w:hAnsiTheme="minorHAnsi" w:cs="Arial"/>
          <w:b/>
          <w:i/>
          <w:color w:val="767171" w:themeColor="background2" w:themeShade="80"/>
          <w:sz w:val="26"/>
          <w:szCs w:val="26"/>
        </w:rPr>
      </w:pPr>
    </w:p>
    <w:p w:rsidR="00CD0927" w:rsidRPr="00A37D0C" w:rsidRDefault="00CD0927" w:rsidP="00CD0927">
      <w:pPr>
        <w:pStyle w:val="Sangra2detindependiente"/>
        <w:spacing w:line="240" w:lineRule="auto"/>
        <w:ind w:left="0" w:firstLine="708"/>
        <w:jc w:val="both"/>
        <w:rPr>
          <w:rFonts w:asciiTheme="minorHAnsi" w:hAnsiTheme="minorHAnsi"/>
          <w:color w:val="767171" w:themeColor="background2" w:themeShade="80"/>
          <w:sz w:val="20"/>
          <w:szCs w:val="20"/>
        </w:rPr>
      </w:pPr>
      <w:r>
        <w:rPr>
          <w:rFonts w:asciiTheme="minorHAnsi" w:hAnsiTheme="minorHAnsi" w:cs="Arial"/>
          <w:b/>
          <w:i/>
          <w:color w:val="767171" w:themeColor="background2" w:themeShade="80"/>
          <w:sz w:val="26"/>
          <w:szCs w:val="26"/>
        </w:rPr>
        <w:t>OCTAVO</w:t>
      </w:r>
      <w:r w:rsidRPr="006C6F8D">
        <w:rPr>
          <w:rFonts w:asciiTheme="minorHAnsi" w:hAnsiTheme="minorHAnsi" w:cs="Arial"/>
          <w:b/>
          <w:i/>
          <w:color w:val="767171" w:themeColor="background2" w:themeShade="80"/>
          <w:sz w:val="26"/>
          <w:szCs w:val="26"/>
        </w:rPr>
        <w:t xml:space="preserve">.- </w:t>
      </w:r>
      <w:r w:rsidRPr="007C4941">
        <w:rPr>
          <w:rFonts w:asciiTheme="minorHAnsi" w:hAnsiTheme="minorHAnsi"/>
          <w:bCs/>
          <w:color w:val="767171" w:themeColor="background2" w:themeShade="80"/>
          <w:sz w:val="26"/>
          <w:szCs w:val="26"/>
        </w:rPr>
        <w:t xml:space="preserve">De lo solicitado por la parte actora se encuentra también lo referente al </w:t>
      </w:r>
      <w:r w:rsidRPr="007C4941">
        <w:rPr>
          <w:rFonts w:asciiTheme="minorHAnsi" w:hAnsiTheme="minorHAnsi"/>
          <w:color w:val="767171" w:themeColor="background2" w:themeShade="80"/>
          <w:sz w:val="26"/>
          <w:szCs w:val="26"/>
        </w:rPr>
        <w:t>reconocimiento de los derechos que a su favor instituyen diversas normas jurídicas y, que se condene al restablecimiento en el ejercicio de sus derechos violados</w:t>
      </w:r>
      <w:r w:rsidRPr="007C4941">
        <w:rPr>
          <w:rFonts w:asciiTheme="minorHAnsi" w:hAnsiTheme="minorHAnsi"/>
          <w:bCs/>
          <w:color w:val="767171" w:themeColor="background2" w:themeShade="80"/>
          <w:sz w:val="26"/>
          <w:szCs w:val="26"/>
        </w:rPr>
        <w:t>. . . . . . . . . . . . . . . . . . . . . . . . . . . . . . . . . . . . . . . . . . . . . . . . . . . . . .</w:t>
      </w:r>
    </w:p>
    <w:p w:rsidR="00CD0927" w:rsidRPr="007C4941" w:rsidRDefault="00CD0927" w:rsidP="00CD0927">
      <w:pPr>
        <w:pStyle w:val="Textoindependiente"/>
        <w:rPr>
          <w:rFonts w:asciiTheme="minorHAnsi" w:hAnsiTheme="minorHAnsi" w:cs="Arial"/>
          <w:b/>
          <w:bCs/>
          <w:color w:val="767171" w:themeColor="background2" w:themeShade="80"/>
          <w:sz w:val="26"/>
          <w:szCs w:val="26"/>
        </w:rPr>
      </w:pPr>
    </w:p>
    <w:p w:rsidR="00CD0927" w:rsidRDefault="00CD0927" w:rsidP="00CD0927">
      <w:pPr>
        <w:ind w:firstLine="708"/>
        <w:jc w:val="both"/>
        <w:rPr>
          <w:rFonts w:asciiTheme="minorHAnsi" w:hAnsiTheme="minorHAnsi" w:cstheme="minorHAnsi"/>
          <w:color w:val="7F7F7F" w:themeColor="text1" w:themeTint="80"/>
          <w:sz w:val="26"/>
          <w:szCs w:val="26"/>
        </w:rPr>
      </w:pPr>
      <w:r w:rsidRPr="007C4941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Es </w:t>
      </w:r>
      <w:r w:rsidRPr="007C4941">
        <w:rPr>
          <w:rFonts w:asciiTheme="minorHAnsi" w:hAnsiTheme="minorHAnsi"/>
          <w:b/>
          <w:bCs/>
          <w:color w:val="767171" w:themeColor="background2" w:themeShade="80"/>
          <w:sz w:val="26"/>
          <w:szCs w:val="26"/>
        </w:rPr>
        <w:t xml:space="preserve">procedente </w:t>
      </w:r>
      <w:r w:rsidRPr="007C4941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tal pretensión; </w:t>
      </w:r>
      <w:r w:rsidRPr="00EE5B3A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pues al resultar nulos los actos combatidos; contenidos en el recibo</w:t>
      </w:r>
      <w:r w:rsidR="00B944D1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 número </w:t>
      </w:r>
      <w:r w:rsidR="00B944D1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A 31544662 (A tres-uno-cinco-cuatro-cuatro-seis-seis-dos</w:t>
      </w:r>
      <w:r>
        <w:rPr>
          <w:rFonts w:asciiTheme="minorHAnsi" w:hAnsiTheme="minorHAnsi" w:cstheme="minorHAnsi"/>
          <w:color w:val="7F7F7F" w:themeColor="text1" w:themeTint="80"/>
          <w:sz w:val="26"/>
          <w:szCs w:val="26"/>
        </w:rPr>
        <w:t>;</w:t>
      </w:r>
      <w:r w:rsidRPr="00EE5B3A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 de acuerdo a lo señalado en el Sexto Considerando de esta misma resolución; surge el derecho del actor para el restablecimiento de sus derechos conculcados; por lo que la autoridad demandada deberá emitir un documento, </w:t>
      </w:r>
      <w:r w:rsidRPr="00EE5B3A">
        <w:rPr>
          <w:rFonts w:asciiTheme="minorHAnsi" w:hAnsiTheme="minorHAnsi" w:cstheme="minorHAnsi"/>
          <w:color w:val="7F7F7F" w:themeColor="text1" w:themeTint="80"/>
          <w:sz w:val="26"/>
          <w:szCs w:val="26"/>
        </w:rPr>
        <w:lastRenderedPageBreak/>
        <w:t xml:space="preserve">debidamente fundado y motivado, en el que desglose, de manera pormenorizada todos y cada uno de los conceptos que conforman el adeudo a cargo del ciudadano </w:t>
      </w:r>
      <w:r w:rsidR="00730044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*****</w:t>
      </w:r>
      <w:r w:rsidRPr="00EE5B3A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; la manera en que se calcularon o determinaron; los pagos que, en su caso, haya realizado el justiciable; y, que tasas o tarifas se aplican; todo ello</w:t>
      </w:r>
      <w:r w:rsidR="00B944D1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,</w:t>
      </w:r>
      <w:r w:rsidRPr="00EE5B3A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 con corte al día </w:t>
      </w:r>
      <w:r>
        <w:rPr>
          <w:rFonts w:asciiTheme="minorHAnsi" w:hAnsiTheme="minorHAnsi" w:cstheme="minorHAnsi"/>
          <w:color w:val="7F7F7F" w:themeColor="text1" w:themeTint="80"/>
          <w:sz w:val="26"/>
          <w:szCs w:val="26"/>
        </w:rPr>
        <w:t>de la presente resolución</w:t>
      </w:r>
      <w:r w:rsidRPr="00EE5B3A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. . . . </w:t>
      </w:r>
      <w:r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. . . . . . . . . . . </w:t>
      </w:r>
      <w:r w:rsidR="00475B33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. . . . </w:t>
      </w:r>
    </w:p>
    <w:p w:rsidR="00B944D1" w:rsidRDefault="00B944D1" w:rsidP="00CD0927">
      <w:pPr>
        <w:ind w:firstLine="708"/>
        <w:jc w:val="both"/>
        <w:rPr>
          <w:rFonts w:asciiTheme="minorHAnsi" w:hAnsiTheme="minorHAnsi" w:cstheme="minorHAnsi"/>
          <w:color w:val="7F7F7F" w:themeColor="text1" w:themeTint="80"/>
          <w:sz w:val="26"/>
          <w:szCs w:val="26"/>
        </w:rPr>
      </w:pPr>
    </w:p>
    <w:p w:rsidR="00CD0927" w:rsidRPr="000F776D" w:rsidRDefault="00CD0927" w:rsidP="00CD0927">
      <w:pPr>
        <w:ind w:firstLine="708"/>
        <w:jc w:val="both"/>
        <w:rPr>
          <w:rFonts w:asciiTheme="minorHAnsi" w:hAnsiTheme="minorHAnsi" w:cstheme="minorHAnsi"/>
          <w:color w:val="767171" w:themeColor="background2" w:themeShade="80"/>
          <w:sz w:val="26"/>
          <w:szCs w:val="26"/>
        </w:rPr>
      </w:pPr>
      <w:r w:rsidRPr="000F776D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Lo anterior</w:t>
      </w:r>
      <w:r w:rsidRPr="000F776D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, lo deberá hacer el Sistema de Agua Potable y Alcantarillado de León, dentro de los </w:t>
      </w:r>
      <w:r w:rsidRPr="000F776D">
        <w:rPr>
          <w:rFonts w:asciiTheme="minorHAnsi" w:hAnsiTheme="minorHAnsi"/>
          <w:b/>
          <w:color w:val="767171" w:themeColor="background2" w:themeShade="80"/>
          <w:sz w:val="26"/>
          <w:szCs w:val="26"/>
        </w:rPr>
        <w:t>15 quince días</w:t>
      </w:r>
      <w:r w:rsidRPr="000F776D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 siguientes a que </w:t>
      </w:r>
      <w:r w:rsidRPr="000F776D">
        <w:rPr>
          <w:rFonts w:asciiTheme="minorHAnsi" w:hAnsiTheme="minorHAnsi"/>
          <w:b/>
          <w:color w:val="767171" w:themeColor="background2" w:themeShade="80"/>
          <w:sz w:val="26"/>
          <w:szCs w:val="26"/>
        </w:rPr>
        <w:t>cause ejecutoria</w:t>
      </w:r>
      <w:r w:rsidRPr="000F776D"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 la presente resolución, debiendo informar a este juzgado sobre ello y acompañando las constancias correspondientes. . . . . . . </w:t>
      </w:r>
      <w:r>
        <w:rPr>
          <w:rFonts w:asciiTheme="minorHAnsi" w:hAnsiTheme="minorHAnsi"/>
          <w:color w:val="767171" w:themeColor="background2" w:themeShade="80"/>
          <w:sz w:val="26"/>
          <w:szCs w:val="26"/>
        </w:rPr>
        <w:t xml:space="preserve">. . . . . . . . . . . . . . . . . . . . . . . . . . . . . . . . . . . . . </w:t>
      </w:r>
    </w:p>
    <w:p w:rsidR="00CD0927" w:rsidRPr="000F776D" w:rsidRDefault="00CD0927" w:rsidP="00CD0927">
      <w:pPr>
        <w:jc w:val="both"/>
        <w:rPr>
          <w:rFonts w:asciiTheme="minorHAnsi" w:hAnsiTheme="minorHAnsi" w:cstheme="minorHAnsi"/>
          <w:color w:val="767171" w:themeColor="background2" w:themeShade="80"/>
          <w:sz w:val="26"/>
          <w:szCs w:val="26"/>
        </w:rPr>
      </w:pPr>
    </w:p>
    <w:p w:rsidR="00CD0927" w:rsidRPr="000F776D" w:rsidRDefault="00CD0927" w:rsidP="00CD0927">
      <w:pPr>
        <w:ind w:firstLine="708"/>
        <w:jc w:val="both"/>
        <w:rPr>
          <w:rFonts w:asciiTheme="minorHAnsi" w:hAnsiTheme="minorHAnsi" w:cstheme="minorHAnsi"/>
          <w:color w:val="767171" w:themeColor="background2" w:themeShade="80"/>
          <w:sz w:val="26"/>
          <w:szCs w:val="26"/>
        </w:rPr>
      </w:pPr>
      <w:r w:rsidRPr="000F776D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Por otra parte, en cuanto a la pretensión de la conservación del servicio de agua potable, al haberse decretado la nulidad de los actos combatidos, que incluye el apercibi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miento de suspender el servicio;</w:t>
      </w:r>
      <w:r w:rsidRPr="000F776D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</w:t>
      </w:r>
      <w:r w:rsidRPr="00334CC5">
        <w:rPr>
          <w:rFonts w:asciiTheme="minorHAnsi" w:hAnsiTheme="minorHAnsi" w:cstheme="minorHAnsi"/>
          <w:b/>
          <w:color w:val="767171" w:themeColor="background2" w:themeShade="80"/>
          <w:sz w:val="26"/>
          <w:szCs w:val="26"/>
        </w:rPr>
        <w:t>sí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</w:t>
      </w:r>
      <w:r w:rsidRPr="000F776D">
        <w:rPr>
          <w:rFonts w:asciiTheme="minorHAnsi" w:hAnsiTheme="minorHAnsi" w:cstheme="minorHAnsi"/>
          <w:b/>
          <w:color w:val="767171" w:themeColor="background2" w:themeShade="80"/>
          <w:sz w:val="26"/>
          <w:szCs w:val="26"/>
        </w:rPr>
        <w:t xml:space="preserve">ha lugar </w:t>
      </w:r>
      <w:r w:rsidRPr="000F776D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a lo solicitado, sobre todo porque </w:t>
      </w:r>
      <w:r w:rsidR="00B944D1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aunque </w:t>
      </w:r>
      <w:r w:rsidRPr="000F776D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el uso </w:t>
      </w:r>
      <w:r w:rsidR="00B944D1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que se señaló por el organismo operador</w:t>
      </w:r>
      <w:r w:rsidR="00821645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</w:t>
      </w:r>
      <w:r w:rsidR="00B944D1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es mixto, </w:t>
      </w:r>
      <w:r w:rsidR="00821645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en él está incluido el</w:t>
      </w:r>
      <w:r w:rsidRPr="000F776D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de carácter </w:t>
      </w:r>
      <w:r w:rsidRPr="000F776D">
        <w:rPr>
          <w:rFonts w:asciiTheme="minorHAnsi" w:hAnsiTheme="minorHAnsi" w:cstheme="minorHAnsi"/>
          <w:b/>
          <w:i/>
          <w:color w:val="767171" w:themeColor="background2" w:themeShade="80"/>
          <w:sz w:val="26"/>
          <w:szCs w:val="26"/>
        </w:rPr>
        <w:t>“domestico”</w:t>
      </w:r>
      <w:r w:rsidR="00821645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;</w:t>
      </w:r>
      <w:r w:rsidRPr="000F776D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por lo que la demandada deberá estarse a lo establecido en el segundo párrafo del artículo 341 del Código Territorial para el Estado y los Municipios de Guanajuato. . . . . . . . . . . . . . . . . . . . .</w:t>
      </w:r>
      <w:r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</w:t>
      </w:r>
    </w:p>
    <w:p w:rsidR="00CD0927" w:rsidRPr="00A66BF6" w:rsidRDefault="00CD0927" w:rsidP="00CD0927">
      <w:pPr>
        <w:jc w:val="both"/>
        <w:rPr>
          <w:rFonts w:asciiTheme="minorHAnsi" w:hAnsiTheme="minorHAnsi"/>
          <w:color w:val="767171" w:themeColor="background2" w:themeShade="80"/>
          <w:sz w:val="26"/>
          <w:szCs w:val="26"/>
        </w:rPr>
      </w:pPr>
    </w:p>
    <w:p w:rsidR="00CD0927" w:rsidRPr="007C4941" w:rsidRDefault="00CD0927" w:rsidP="00CD0927">
      <w:pPr>
        <w:pStyle w:val="Textoindependiente"/>
        <w:ind w:firstLine="708"/>
        <w:jc w:val="both"/>
        <w:rPr>
          <w:rFonts w:ascii="Calibri" w:hAnsi="Calibri" w:cs="Arial"/>
          <w:color w:val="767171" w:themeColor="background2" w:themeShade="80"/>
          <w:sz w:val="26"/>
        </w:rPr>
      </w:pPr>
      <w:r w:rsidRPr="007C4941">
        <w:rPr>
          <w:rFonts w:ascii="Calibri" w:hAnsi="Calibri" w:cs="Arial"/>
          <w:color w:val="767171" w:themeColor="background2" w:themeShade="80"/>
          <w:sz w:val="26"/>
        </w:rPr>
        <w:t>Por lo anteriormente expuesto, y con fundamento además en lo señalado  en los artículos 249; 287, 298, 299, 300, fracci</w:t>
      </w:r>
      <w:r>
        <w:rPr>
          <w:rFonts w:ascii="Calibri" w:hAnsi="Calibri" w:cs="Arial"/>
          <w:color w:val="767171" w:themeColor="background2" w:themeShade="80"/>
          <w:sz w:val="26"/>
        </w:rPr>
        <w:t>ones II y V y</w:t>
      </w:r>
      <w:r w:rsidRPr="007C4941">
        <w:rPr>
          <w:rFonts w:ascii="Calibri" w:hAnsi="Calibri" w:cs="Arial"/>
          <w:color w:val="767171" w:themeColor="background2" w:themeShade="80"/>
          <w:sz w:val="26"/>
        </w:rPr>
        <w:t xml:space="preserve"> 302, fracción II, del </w:t>
      </w:r>
      <w:r w:rsidRPr="007C4941">
        <w:rPr>
          <w:rFonts w:ascii="Calibri" w:hAnsi="Calibri"/>
          <w:color w:val="767171" w:themeColor="background2" w:themeShade="80"/>
          <w:sz w:val="26"/>
        </w:rPr>
        <w:t>Código de Procedimiento y Justicia Administrativa para el Estado y los Municipios de Guanajuato,</w:t>
      </w:r>
      <w:r w:rsidRPr="007C4941">
        <w:rPr>
          <w:rFonts w:ascii="Calibri" w:hAnsi="Calibri" w:cs="Arial"/>
          <w:color w:val="767171" w:themeColor="background2" w:themeShade="80"/>
          <w:sz w:val="26"/>
        </w:rPr>
        <w:t xml:space="preserve"> es de resolverse y se : . . . . . . . . . . . . . . . . </w:t>
      </w:r>
      <w:r>
        <w:rPr>
          <w:rFonts w:ascii="Calibri" w:hAnsi="Calibri" w:cs="Arial"/>
          <w:color w:val="767171" w:themeColor="background2" w:themeShade="80"/>
          <w:sz w:val="26"/>
        </w:rPr>
        <w:t xml:space="preserve">. . . . . . . . . . . . . . . . . . . . . </w:t>
      </w:r>
    </w:p>
    <w:p w:rsidR="00CD0927" w:rsidRPr="00334CC5" w:rsidRDefault="00CD0927" w:rsidP="00CD0927">
      <w:pPr>
        <w:ind w:firstLine="708"/>
        <w:jc w:val="both"/>
        <w:rPr>
          <w:rFonts w:ascii="Calibri" w:hAnsi="Calibri"/>
          <w:color w:val="767171" w:themeColor="background2" w:themeShade="80"/>
          <w:sz w:val="22"/>
        </w:rPr>
      </w:pPr>
    </w:p>
    <w:p w:rsidR="00CD0927" w:rsidRPr="007C4941" w:rsidRDefault="00CD0927" w:rsidP="00CD0927">
      <w:pPr>
        <w:jc w:val="center"/>
        <w:rPr>
          <w:rFonts w:ascii="Calibri" w:hAnsi="Calibri"/>
          <w:i/>
          <w:iCs/>
          <w:color w:val="767171" w:themeColor="background2" w:themeShade="80"/>
          <w:sz w:val="26"/>
        </w:rPr>
      </w:pPr>
      <w:r w:rsidRPr="007C4941">
        <w:rPr>
          <w:rFonts w:ascii="Calibri" w:hAnsi="Calibri"/>
          <w:b/>
          <w:i/>
          <w:iCs/>
          <w:color w:val="767171" w:themeColor="background2" w:themeShade="80"/>
          <w:sz w:val="26"/>
        </w:rPr>
        <w:t xml:space="preserve">R E S U E L V </w:t>
      </w:r>
      <w:proofErr w:type="gramStart"/>
      <w:r w:rsidRPr="007C4941">
        <w:rPr>
          <w:rFonts w:ascii="Calibri" w:hAnsi="Calibri"/>
          <w:b/>
          <w:i/>
          <w:iCs/>
          <w:color w:val="767171" w:themeColor="background2" w:themeShade="80"/>
          <w:sz w:val="26"/>
        </w:rPr>
        <w:t>E :</w:t>
      </w:r>
      <w:proofErr w:type="gramEnd"/>
    </w:p>
    <w:p w:rsidR="00CD0927" w:rsidRPr="007C4941" w:rsidRDefault="00CD0927" w:rsidP="00CD0927">
      <w:pPr>
        <w:jc w:val="both"/>
        <w:rPr>
          <w:rFonts w:ascii="Calibri" w:hAnsi="Calibri"/>
          <w:color w:val="767171" w:themeColor="background2" w:themeShade="80"/>
          <w:sz w:val="22"/>
        </w:rPr>
      </w:pPr>
    </w:p>
    <w:p w:rsidR="00CD0927" w:rsidRPr="007C4941" w:rsidRDefault="00CD0927" w:rsidP="00CD0927">
      <w:pPr>
        <w:ind w:firstLine="708"/>
        <w:jc w:val="both"/>
        <w:rPr>
          <w:rFonts w:ascii="Calibri" w:hAnsi="Calibri"/>
          <w:color w:val="767171" w:themeColor="background2" w:themeShade="80"/>
          <w:sz w:val="26"/>
        </w:rPr>
      </w:pPr>
      <w:r w:rsidRPr="007C4941">
        <w:rPr>
          <w:rFonts w:ascii="Calibri" w:hAnsi="Calibri"/>
          <w:b/>
          <w:i/>
          <w:iCs/>
          <w:color w:val="767171" w:themeColor="background2" w:themeShade="80"/>
          <w:sz w:val="26"/>
        </w:rPr>
        <w:t>PRIMERO</w:t>
      </w:r>
      <w:r w:rsidRPr="007C4941">
        <w:rPr>
          <w:rFonts w:ascii="Calibri" w:hAnsi="Calibri"/>
          <w:b/>
          <w:color w:val="767171" w:themeColor="background2" w:themeShade="80"/>
          <w:sz w:val="26"/>
        </w:rPr>
        <w:t>.-</w:t>
      </w:r>
      <w:r w:rsidRPr="007C4941">
        <w:rPr>
          <w:rFonts w:ascii="Calibri" w:hAnsi="Calibri"/>
          <w:color w:val="767171" w:themeColor="background2" w:themeShade="80"/>
          <w:sz w:val="26"/>
        </w:rPr>
        <w:t xml:space="preserve"> Este Juzgado Segundo Administrativo Municipal </w:t>
      </w:r>
      <w:r>
        <w:rPr>
          <w:rFonts w:ascii="Calibri" w:hAnsi="Calibri"/>
          <w:color w:val="767171" w:themeColor="background2" w:themeShade="80"/>
          <w:sz w:val="26"/>
        </w:rPr>
        <w:t>determina ser</w:t>
      </w:r>
      <w:r w:rsidRPr="007C4941">
        <w:rPr>
          <w:rFonts w:ascii="Calibri" w:hAnsi="Calibri"/>
          <w:color w:val="767171" w:themeColor="background2" w:themeShade="80"/>
          <w:sz w:val="26"/>
        </w:rPr>
        <w:t xml:space="preserve"> </w:t>
      </w:r>
      <w:r w:rsidRPr="00953BDC">
        <w:rPr>
          <w:rFonts w:ascii="Calibri" w:hAnsi="Calibri"/>
          <w:b/>
          <w:color w:val="767171" w:themeColor="background2" w:themeShade="80"/>
          <w:sz w:val="26"/>
        </w:rPr>
        <w:t>competente</w:t>
      </w:r>
      <w:r w:rsidRPr="007C4941">
        <w:rPr>
          <w:rFonts w:ascii="Calibri" w:hAnsi="Calibri"/>
          <w:color w:val="767171" w:themeColor="background2" w:themeShade="80"/>
          <w:sz w:val="26"/>
        </w:rPr>
        <w:t xml:space="preserve"> para conocer y resolver el presente proceso administrativo. . . . . . . . </w:t>
      </w:r>
    </w:p>
    <w:p w:rsidR="00CD0927" w:rsidRPr="00884CBD" w:rsidRDefault="00CD0927" w:rsidP="00CD0927">
      <w:pPr>
        <w:jc w:val="both"/>
        <w:rPr>
          <w:rFonts w:ascii="Calibri" w:hAnsi="Calibri"/>
          <w:color w:val="AEAAAA" w:themeColor="background2" w:themeShade="BF"/>
          <w:sz w:val="22"/>
        </w:rPr>
      </w:pPr>
    </w:p>
    <w:p w:rsidR="00CD0927" w:rsidRPr="007C4941" w:rsidRDefault="00CD0927" w:rsidP="00CD0927">
      <w:pPr>
        <w:pStyle w:val="Textoindependienteprimerasangra"/>
        <w:ind w:firstLine="708"/>
        <w:jc w:val="both"/>
        <w:rPr>
          <w:rFonts w:asciiTheme="minorHAnsi" w:hAnsiTheme="minorHAnsi" w:cstheme="minorHAnsi"/>
          <w:color w:val="767171" w:themeColor="background2" w:themeShade="80"/>
          <w:sz w:val="26"/>
          <w:szCs w:val="26"/>
        </w:rPr>
      </w:pPr>
      <w:r w:rsidRPr="007C4941">
        <w:rPr>
          <w:rFonts w:ascii="Calibri" w:hAnsi="Calibri" w:cs="Arial"/>
          <w:b/>
          <w:bCs/>
          <w:i/>
          <w:iCs/>
          <w:color w:val="767171" w:themeColor="background2" w:themeShade="80"/>
          <w:sz w:val="26"/>
          <w:szCs w:val="26"/>
        </w:rPr>
        <w:t xml:space="preserve">SEGUNDO.- </w:t>
      </w:r>
      <w:r>
        <w:rPr>
          <w:rFonts w:ascii="Calibri" w:hAnsi="Calibri" w:cs="Arial"/>
          <w:bCs/>
          <w:iCs/>
          <w:color w:val="767171" w:themeColor="background2" w:themeShade="80"/>
          <w:sz w:val="26"/>
          <w:szCs w:val="26"/>
        </w:rPr>
        <w:t xml:space="preserve">Resulta </w:t>
      </w:r>
      <w:r w:rsidRPr="00953BDC">
        <w:rPr>
          <w:rFonts w:ascii="Calibri" w:hAnsi="Calibri"/>
          <w:b/>
          <w:bCs/>
          <w:i/>
          <w:color w:val="767171" w:themeColor="background2" w:themeShade="80"/>
          <w:sz w:val="26"/>
        </w:rPr>
        <w:t>procedente</w:t>
      </w:r>
      <w:r>
        <w:rPr>
          <w:rFonts w:ascii="Calibri" w:hAnsi="Calibri"/>
          <w:b/>
          <w:bCs/>
          <w:color w:val="767171" w:themeColor="background2" w:themeShade="80"/>
          <w:sz w:val="26"/>
        </w:rPr>
        <w:t xml:space="preserve"> e</w:t>
      </w:r>
      <w:r w:rsidRPr="007C4941">
        <w:rPr>
          <w:rFonts w:ascii="Calibri" w:hAnsi="Calibri"/>
          <w:bCs/>
          <w:color w:val="767171" w:themeColor="background2" w:themeShade="80"/>
          <w:sz w:val="26"/>
        </w:rPr>
        <w:t xml:space="preserve">l presente proceso administrativo </w:t>
      </w:r>
      <w:r>
        <w:rPr>
          <w:rFonts w:ascii="Calibri" w:hAnsi="Calibri"/>
          <w:bCs/>
          <w:color w:val="767171" w:themeColor="background2" w:themeShade="80"/>
          <w:sz w:val="26"/>
        </w:rPr>
        <w:t xml:space="preserve">promovido por el ciudadano </w:t>
      </w:r>
      <w:r w:rsidR="00730044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*****</w:t>
      </w:r>
      <w:r w:rsidRPr="007C4941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. . . . . . . . . . . . . . . . . </w:t>
      </w:r>
      <w:r w:rsidR="00821645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. . . . . . . . . . </w:t>
      </w:r>
    </w:p>
    <w:p w:rsidR="00CD0927" w:rsidRPr="007C4941" w:rsidRDefault="00CD0927" w:rsidP="00CD0927">
      <w:pPr>
        <w:pStyle w:val="Textoindependiente"/>
        <w:ind w:firstLine="708"/>
        <w:jc w:val="both"/>
        <w:rPr>
          <w:rFonts w:ascii="Calibri" w:hAnsi="Calibri"/>
          <w:b/>
          <w:i/>
          <w:color w:val="7F7F7F" w:themeColor="text1" w:themeTint="80"/>
          <w:sz w:val="26"/>
        </w:rPr>
      </w:pPr>
    </w:p>
    <w:p w:rsidR="00CD0927" w:rsidRPr="007C4941" w:rsidRDefault="00CD0927" w:rsidP="00CD0927">
      <w:pPr>
        <w:pStyle w:val="Textoindependiente"/>
        <w:ind w:firstLine="708"/>
        <w:jc w:val="both"/>
        <w:rPr>
          <w:rFonts w:ascii="Calibri" w:hAnsi="Calibri"/>
          <w:b/>
          <w:color w:val="767171" w:themeColor="background2" w:themeShade="80"/>
          <w:sz w:val="26"/>
        </w:rPr>
      </w:pPr>
      <w:r w:rsidRPr="007C4941">
        <w:rPr>
          <w:rFonts w:ascii="Calibri" w:hAnsi="Calibri"/>
          <w:b/>
          <w:i/>
          <w:color w:val="767171" w:themeColor="background2" w:themeShade="80"/>
          <w:sz w:val="26"/>
        </w:rPr>
        <w:t>TERCERO</w:t>
      </w:r>
      <w:r w:rsidRPr="007C4941">
        <w:rPr>
          <w:rFonts w:ascii="Calibri" w:hAnsi="Calibri"/>
          <w:b/>
          <w:color w:val="767171" w:themeColor="background2" w:themeShade="80"/>
          <w:sz w:val="26"/>
        </w:rPr>
        <w:t>.-</w:t>
      </w:r>
      <w:r>
        <w:rPr>
          <w:rFonts w:ascii="Calibri" w:hAnsi="Calibri"/>
          <w:b/>
          <w:color w:val="767171" w:themeColor="background2" w:themeShade="80"/>
          <w:sz w:val="26"/>
        </w:rPr>
        <w:t xml:space="preserve"> </w:t>
      </w:r>
      <w:r w:rsidRPr="007C4941">
        <w:rPr>
          <w:rFonts w:ascii="Calibri" w:hAnsi="Calibri"/>
          <w:color w:val="767171" w:themeColor="background2" w:themeShade="80"/>
          <w:sz w:val="26"/>
        </w:rPr>
        <w:t xml:space="preserve">Se </w:t>
      </w:r>
      <w:r w:rsidRPr="007C4941">
        <w:rPr>
          <w:rFonts w:ascii="Calibri" w:hAnsi="Calibri" w:cs="Arial"/>
          <w:b/>
          <w:iCs/>
          <w:color w:val="767171" w:themeColor="background2" w:themeShade="80"/>
          <w:sz w:val="26"/>
          <w:szCs w:val="27"/>
        </w:rPr>
        <w:t xml:space="preserve">decreta la nulidad </w:t>
      </w:r>
      <w:r w:rsidRPr="007C4941">
        <w:rPr>
          <w:rFonts w:ascii="Calibri" w:hAnsi="Calibri" w:cs="Arial"/>
          <w:b/>
          <w:bCs/>
          <w:iCs/>
          <w:color w:val="767171" w:themeColor="background2" w:themeShade="80"/>
          <w:sz w:val="26"/>
          <w:szCs w:val="27"/>
        </w:rPr>
        <w:t xml:space="preserve">total </w:t>
      </w:r>
      <w:r w:rsidRPr="007C4941">
        <w:rPr>
          <w:rFonts w:ascii="Calibri" w:hAnsi="Calibri" w:cs="Arial"/>
          <w:bCs/>
          <w:color w:val="767171" w:themeColor="background2" w:themeShade="80"/>
          <w:sz w:val="26"/>
        </w:rPr>
        <w:t xml:space="preserve">de </w:t>
      </w:r>
      <w:r w:rsidRPr="007C4941">
        <w:rPr>
          <w:rFonts w:ascii="Calibri" w:hAnsi="Calibri" w:cs="Calibri"/>
          <w:color w:val="767171" w:themeColor="background2" w:themeShade="80"/>
          <w:sz w:val="26"/>
          <w:szCs w:val="26"/>
        </w:rPr>
        <w:t xml:space="preserve">la </w:t>
      </w:r>
      <w:r w:rsidRPr="007C4941">
        <w:rPr>
          <w:rFonts w:ascii="Calibri" w:hAnsi="Calibri"/>
          <w:color w:val="767171" w:themeColor="background2" w:themeShade="80"/>
          <w:sz w:val="26"/>
          <w:szCs w:val="26"/>
        </w:rPr>
        <w:t xml:space="preserve">determinación de cobrarle por consumo de agua y por diversos conceptos, mismos que están contenidos en el recibo </w:t>
      </w:r>
      <w:r w:rsidR="00821645">
        <w:rPr>
          <w:rFonts w:ascii="Calibri" w:hAnsi="Calibri"/>
          <w:color w:val="767171" w:themeColor="background2" w:themeShade="80"/>
          <w:sz w:val="26"/>
          <w:szCs w:val="26"/>
        </w:rPr>
        <w:t xml:space="preserve">con </w:t>
      </w:r>
      <w:r w:rsidRPr="007C4941">
        <w:rPr>
          <w:rFonts w:ascii="Calibri" w:hAnsi="Calibri"/>
          <w:color w:val="767171" w:themeColor="background2" w:themeShade="80"/>
          <w:sz w:val="26"/>
          <w:szCs w:val="26"/>
        </w:rPr>
        <w:t>número</w:t>
      </w:r>
      <w:r>
        <w:rPr>
          <w:rFonts w:ascii="Calibri" w:hAnsi="Calibri"/>
          <w:color w:val="767171" w:themeColor="background2" w:themeShade="80"/>
          <w:sz w:val="26"/>
          <w:szCs w:val="26"/>
        </w:rPr>
        <w:t xml:space="preserve"> </w:t>
      </w:r>
      <w:r w:rsidR="00821645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A 31544662 (A tres-uno-cinco-cuatro-cuatro-seis-seis-dos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, </w:t>
      </w:r>
      <w:r w:rsidR="00821645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que suman la cantidad total a pagar de </w:t>
      </w:r>
      <w:r w:rsidR="00821645">
        <w:rPr>
          <w:rFonts w:ascii="Calibri" w:hAnsi="Calibri"/>
          <w:color w:val="767171" w:themeColor="background2" w:themeShade="80"/>
          <w:sz w:val="26"/>
          <w:szCs w:val="26"/>
        </w:rPr>
        <w:t>$2,045.90 (Dos mil cuarenta y cinco pesos 90/100 Moneda Nacional),</w:t>
      </w:r>
      <w:r w:rsidR="00821645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así como del </w:t>
      </w:r>
      <w:r w:rsidR="00821645" w:rsidRPr="00C436C1">
        <w:rPr>
          <w:rFonts w:asciiTheme="minorHAnsi" w:hAnsiTheme="minorHAnsi" w:cstheme="minorHAnsi"/>
          <w:b/>
          <w:color w:val="767171" w:themeColor="background2" w:themeShade="80"/>
          <w:sz w:val="26"/>
          <w:szCs w:val="26"/>
        </w:rPr>
        <w:t>apercibimiento de suspenderle</w:t>
      </w:r>
      <w:r w:rsidR="00821645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el servicio de agua potable, </w:t>
      </w:r>
      <w:r w:rsidR="00821645" w:rsidRPr="008A4C6E">
        <w:rPr>
          <w:rFonts w:ascii="Calibri" w:hAnsi="Calibri" w:cs="Calibri"/>
          <w:color w:val="767171" w:themeColor="background2" w:themeShade="80"/>
          <w:sz w:val="26"/>
          <w:szCs w:val="26"/>
        </w:rPr>
        <w:t xml:space="preserve">respecto del inmueble ubicado en </w:t>
      </w:r>
      <w:bookmarkStart w:id="0" w:name="_GoBack"/>
      <w:r w:rsidR="00874652">
        <w:rPr>
          <w:rFonts w:ascii="Calibri" w:hAnsi="Calibri" w:cs="Calibri"/>
          <w:color w:val="767171" w:themeColor="background2" w:themeShade="80"/>
          <w:sz w:val="26"/>
          <w:szCs w:val="26"/>
        </w:rPr>
        <w:t>*****</w:t>
      </w:r>
      <w:bookmarkEnd w:id="0"/>
      <w:r w:rsidR="00821645" w:rsidRPr="008A4C6E">
        <w:rPr>
          <w:rFonts w:ascii="Calibri" w:hAnsi="Calibri" w:cs="Calibri"/>
          <w:color w:val="767171" w:themeColor="background2" w:themeShade="80"/>
          <w:sz w:val="26"/>
          <w:szCs w:val="26"/>
        </w:rPr>
        <w:t>, de esta ciudad</w:t>
      </w:r>
      <w:r w:rsidR="00821645">
        <w:rPr>
          <w:rFonts w:ascii="Calibri" w:hAnsi="Calibri" w:cs="Calibri"/>
          <w:color w:val="767171" w:themeColor="background2" w:themeShade="80"/>
          <w:sz w:val="26"/>
          <w:szCs w:val="26"/>
        </w:rPr>
        <w:t xml:space="preserve">, </w:t>
      </w:r>
      <w:r w:rsidRPr="00951180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>de la cuenta número</w:t>
      </w:r>
      <w:r w:rsidR="00821645">
        <w:rPr>
          <w:rFonts w:asciiTheme="minorHAnsi" w:hAnsiTheme="minorHAnsi" w:cstheme="minorHAnsi"/>
          <w:color w:val="767171" w:themeColor="background2" w:themeShade="80"/>
          <w:sz w:val="26"/>
          <w:szCs w:val="26"/>
        </w:rPr>
        <w:t xml:space="preserve"> 0055532;</w:t>
      </w:r>
      <w:r>
        <w:rPr>
          <w:rFonts w:ascii="Calibri" w:hAnsi="Calibri" w:cs="Arial"/>
          <w:color w:val="767171" w:themeColor="background2" w:themeShade="80"/>
          <w:sz w:val="26"/>
          <w:szCs w:val="27"/>
        </w:rPr>
        <w:t xml:space="preserve"> </w:t>
      </w:r>
      <w:r w:rsidRPr="007C4941">
        <w:rPr>
          <w:rFonts w:ascii="Calibri" w:hAnsi="Calibri" w:cs="Arial"/>
          <w:color w:val="767171" w:themeColor="background2" w:themeShade="80"/>
          <w:sz w:val="26"/>
          <w:szCs w:val="27"/>
        </w:rPr>
        <w:t xml:space="preserve">ello en los términos expuestos en el Considerando Sexto de la presente sentencia. </w:t>
      </w:r>
      <w:r w:rsidRPr="007C4941">
        <w:rPr>
          <w:rFonts w:ascii="Calibri" w:hAnsi="Calibri" w:cs="Arial"/>
          <w:color w:val="767171" w:themeColor="background2" w:themeShade="80"/>
          <w:sz w:val="26"/>
        </w:rPr>
        <w:t xml:space="preserve">. . . . . . . . . . . . . . </w:t>
      </w:r>
      <w:r w:rsidR="003A0533">
        <w:rPr>
          <w:rFonts w:ascii="Calibri" w:hAnsi="Calibri" w:cs="Arial"/>
          <w:color w:val="767171" w:themeColor="background2" w:themeShade="80"/>
          <w:sz w:val="26"/>
        </w:rPr>
        <w:t xml:space="preserve">. . </w:t>
      </w:r>
    </w:p>
    <w:p w:rsidR="00CD0927" w:rsidRPr="00821645" w:rsidRDefault="00CD0927" w:rsidP="00821645">
      <w:pPr>
        <w:pStyle w:val="Textoindependiente"/>
        <w:ind w:firstLine="708"/>
        <w:rPr>
          <w:rFonts w:ascii="Calibri" w:hAnsi="Calibri" w:cs="Arial"/>
          <w:color w:val="7F7F7F" w:themeColor="text1" w:themeTint="80"/>
          <w:sz w:val="20"/>
          <w:szCs w:val="20"/>
        </w:rPr>
      </w:pPr>
    </w:p>
    <w:p w:rsidR="00CD0927" w:rsidRDefault="00CD0927" w:rsidP="00821645">
      <w:pPr>
        <w:pStyle w:val="Textoindependiente"/>
        <w:ind w:firstLine="708"/>
        <w:jc w:val="both"/>
        <w:rPr>
          <w:rFonts w:ascii="Calibri" w:hAnsi="Calibri"/>
          <w:color w:val="767171" w:themeColor="background2" w:themeShade="80"/>
          <w:sz w:val="26"/>
          <w:szCs w:val="26"/>
        </w:rPr>
      </w:pPr>
      <w:r w:rsidRPr="007C4941">
        <w:rPr>
          <w:rFonts w:ascii="Calibri" w:hAnsi="Calibri"/>
          <w:b/>
          <w:i/>
          <w:color w:val="767171" w:themeColor="background2" w:themeShade="80"/>
          <w:sz w:val="26"/>
          <w:szCs w:val="26"/>
        </w:rPr>
        <w:t>CUARTO.</w:t>
      </w:r>
      <w:r w:rsidRPr="007C4941">
        <w:rPr>
          <w:rFonts w:ascii="Calibri" w:hAnsi="Calibri"/>
          <w:b/>
          <w:color w:val="767171" w:themeColor="background2" w:themeShade="80"/>
          <w:sz w:val="26"/>
          <w:szCs w:val="26"/>
        </w:rPr>
        <w:t xml:space="preserve">- </w:t>
      </w:r>
      <w:r w:rsidRPr="00953BDC">
        <w:rPr>
          <w:rFonts w:ascii="Calibri" w:hAnsi="Calibri"/>
          <w:b/>
          <w:color w:val="767171" w:themeColor="background2" w:themeShade="80"/>
          <w:sz w:val="26"/>
          <w:szCs w:val="26"/>
        </w:rPr>
        <w:t>Ha lugar</w:t>
      </w:r>
      <w:r w:rsidRPr="007C4941">
        <w:rPr>
          <w:rFonts w:ascii="Calibri" w:hAnsi="Calibri"/>
          <w:color w:val="767171" w:themeColor="background2" w:themeShade="80"/>
          <w:sz w:val="26"/>
          <w:szCs w:val="26"/>
        </w:rPr>
        <w:t xml:space="preserve"> a </w:t>
      </w:r>
      <w:r>
        <w:rPr>
          <w:rFonts w:ascii="Calibri" w:hAnsi="Calibri"/>
          <w:color w:val="767171" w:themeColor="background2" w:themeShade="80"/>
          <w:sz w:val="26"/>
          <w:szCs w:val="26"/>
        </w:rPr>
        <w:t xml:space="preserve">reconocer el derecho del actor </w:t>
      </w:r>
      <w:r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a que se </w:t>
      </w:r>
      <w:r w:rsidRPr="00EE5B3A">
        <w:rPr>
          <w:rFonts w:asciiTheme="minorHAnsi" w:hAnsiTheme="minorHAnsi" w:cstheme="minorHAnsi"/>
          <w:color w:val="7F7F7F" w:themeColor="text1" w:themeTint="80"/>
          <w:sz w:val="26"/>
          <w:szCs w:val="26"/>
        </w:rPr>
        <w:t>emit</w:t>
      </w:r>
      <w:r>
        <w:rPr>
          <w:rFonts w:asciiTheme="minorHAnsi" w:hAnsiTheme="minorHAnsi" w:cstheme="minorHAnsi"/>
          <w:color w:val="7F7F7F" w:themeColor="text1" w:themeTint="80"/>
          <w:sz w:val="26"/>
          <w:szCs w:val="26"/>
        </w:rPr>
        <w:t>a</w:t>
      </w:r>
      <w:r w:rsidRPr="00EE5B3A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 un documento, debidamente fundado y motivado, en el que desglose, de manera pormenorizada todos y cada uno de los conceptos que conforman el adeudo</w:t>
      </w:r>
      <w:r w:rsidR="00821645">
        <w:rPr>
          <w:rFonts w:asciiTheme="minorHAnsi" w:hAnsiTheme="minorHAnsi" w:cstheme="minorHAnsi"/>
          <w:color w:val="7F7F7F" w:themeColor="text1" w:themeTint="80"/>
          <w:sz w:val="26"/>
          <w:szCs w:val="26"/>
        </w:rPr>
        <w:t xml:space="preserve"> y los pagos que, en su caso, haya realizado el justiciable; </w:t>
      </w:r>
      <w:r>
        <w:rPr>
          <w:rFonts w:ascii="Calibri" w:hAnsi="Calibri"/>
          <w:color w:val="767171" w:themeColor="background2" w:themeShade="80"/>
          <w:sz w:val="26"/>
          <w:szCs w:val="26"/>
        </w:rPr>
        <w:t xml:space="preserve"> y a la conservación del </w:t>
      </w:r>
      <w:r>
        <w:rPr>
          <w:rFonts w:ascii="Calibri" w:hAnsi="Calibri"/>
          <w:color w:val="767171" w:themeColor="background2" w:themeShade="80"/>
          <w:sz w:val="26"/>
          <w:szCs w:val="26"/>
        </w:rPr>
        <w:lastRenderedPageBreak/>
        <w:t xml:space="preserve">servicio, única y exclusivamente, en los términos de lo manifestado en el Considerando Octavo de este fallo. . . . . . . . . . . . . . . . . . . . . . . . </w:t>
      </w:r>
      <w:r w:rsidR="00821645">
        <w:rPr>
          <w:rFonts w:ascii="Calibri" w:hAnsi="Calibri"/>
          <w:color w:val="767171" w:themeColor="background2" w:themeShade="80"/>
          <w:sz w:val="26"/>
          <w:szCs w:val="26"/>
        </w:rPr>
        <w:t>. . . . . . . . . . . . .</w:t>
      </w:r>
      <w:r w:rsidR="007323FB">
        <w:rPr>
          <w:rFonts w:ascii="Calibri" w:hAnsi="Calibri"/>
          <w:color w:val="767171" w:themeColor="background2" w:themeShade="80"/>
          <w:sz w:val="26"/>
          <w:szCs w:val="26"/>
        </w:rPr>
        <w:t xml:space="preserve"> . . . </w:t>
      </w:r>
    </w:p>
    <w:p w:rsidR="00821645" w:rsidRPr="00821645" w:rsidRDefault="00821645" w:rsidP="00821645">
      <w:pPr>
        <w:pStyle w:val="Textoindependiente"/>
        <w:ind w:firstLine="708"/>
        <w:jc w:val="both"/>
        <w:rPr>
          <w:rFonts w:ascii="Calibri" w:hAnsi="Calibri"/>
          <w:color w:val="767171" w:themeColor="background2" w:themeShade="80"/>
          <w:sz w:val="26"/>
          <w:szCs w:val="26"/>
        </w:rPr>
      </w:pPr>
    </w:p>
    <w:p w:rsidR="00CD0927" w:rsidRPr="003C576C" w:rsidRDefault="00CD0927" w:rsidP="00CD0927">
      <w:pPr>
        <w:pStyle w:val="Textoindependiente"/>
        <w:ind w:firstLine="708"/>
        <w:jc w:val="both"/>
        <w:rPr>
          <w:rFonts w:ascii="Calibri" w:hAnsi="Calibri" w:cs="Arial"/>
          <w:color w:val="767171" w:themeColor="background2" w:themeShade="80"/>
          <w:sz w:val="26"/>
        </w:rPr>
      </w:pPr>
      <w:r w:rsidRPr="003C576C">
        <w:rPr>
          <w:rFonts w:ascii="Calibri" w:hAnsi="Calibri" w:cs="Arial"/>
          <w:color w:val="767171" w:themeColor="background2" w:themeShade="80"/>
          <w:sz w:val="26"/>
        </w:rPr>
        <w:t xml:space="preserve">Notifíquese a la autoridad demandada por oficio y a la parte actora personalmente. . . . . . . . . . . . . . . . . . . . . . . . . . . . . . . . . . . . . . . . . . . . . . . . . . . . . . . . </w:t>
      </w:r>
    </w:p>
    <w:p w:rsidR="00CD0927" w:rsidRPr="00C04A37" w:rsidRDefault="00CD0927" w:rsidP="00CD0927">
      <w:pPr>
        <w:jc w:val="both"/>
        <w:rPr>
          <w:rFonts w:ascii="Calibri" w:hAnsi="Calibri"/>
          <w:color w:val="AEAAAA" w:themeColor="background2" w:themeShade="BF"/>
          <w:sz w:val="22"/>
        </w:rPr>
      </w:pPr>
    </w:p>
    <w:p w:rsidR="00CD0927" w:rsidRPr="003C576C" w:rsidRDefault="00CD0927" w:rsidP="00CD0927">
      <w:pPr>
        <w:ind w:firstLine="708"/>
        <w:jc w:val="both"/>
        <w:rPr>
          <w:rFonts w:ascii="Calibri" w:hAnsi="Calibri"/>
          <w:color w:val="767171" w:themeColor="background2" w:themeShade="80"/>
          <w:sz w:val="26"/>
        </w:rPr>
      </w:pPr>
      <w:r w:rsidRPr="003C576C">
        <w:rPr>
          <w:rFonts w:ascii="Calibri" w:hAnsi="Calibri"/>
          <w:color w:val="767171" w:themeColor="background2" w:themeShade="80"/>
          <w:sz w:val="26"/>
        </w:rPr>
        <w:t xml:space="preserve">En su oportunidad archívese éste expediente como asunto totalmente concluido y </w:t>
      </w:r>
      <w:proofErr w:type="spellStart"/>
      <w:r w:rsidRPr="003C576C">
        <w:rPr>
          <w:rFonts w:ascii="Calibri" w:hAnsi="Calibri"/>
          <w:color w:val="767171" w:themeColor="background2" w:themeShade="80"/>
          <w:sz w:val="26"/>
        </w:rPr>
        <w:t>dése</w:t>
      </w:r>
      <w:proofErr w:type="spellEnd"/>
      <w:r w:rsidRPr="003C576C">
        <w:rPr>
          <w:rFonts w:ascii="Calibri" w:hAnsi="Calibri"/>
          <w:color w:val="767171" w:themeColor="background2" w:themeShade="80"/>
          <w:sz w:val="26"/>
        </w:rPr>
        <w:t xml:space="preserve"> de baja en el Libro de Registros que se lleva con ese fin. . . . . . . . </w:t>
      </w:r>
    </w:p>
    <w:p w:rsidR="00CD0927" w:rsidRDefault="00CD0927" w:rsidP="00CD0927">
      <w:pPr>
        <w:pStyle w:val="Sangradetextonormal"/>
        <w:ind w:left="0"/>
        <w:jc w:val="both"/>
        <w:rPr>
          <w:rFonts w:ascii="Calibri" w:hAnsi="Calibri"/>
          <w:color w:val="767171" w:themeColor="background2" w:themeShade="80"/>
          <w:sz w:val="26"/>
        </w:rPr>
      </w:pPr>
    </w:p>
    <w:p w:rsidR="00CD0927" w:rsidRDefault="00CD0927" w:rsidP="00CD0927">
      <w:pPr>
        <w:pStyle w:val="Sangradetextonormal"/>
        <w:ind w:left="0" w:firstLine="708"/>
        <w:jc w:val="both"/>
        <w:rPr>
          <w:rFonts w:ascii="Calibri" w:eastAsia="BatangChe" w:hAnsi="Calibri" w:cs="Arial"/>
          <w:color w:val="767171" w:themeColor="background2" w:themeShade="80"/>
          <w:sz w:val="26"/>
        </w:rPr>
      </w:pPr>
      <w:r w:rsidRPr="003C576C">
        <w:rPr>
          <w:rFonts w:ascii="Calibri" w:hAnsi="Calibri" w:cs="Arial"/>
          <w:color w:val="767171" w:themeColor="background2" w:themeShade="80"/>
          <w:sz w:val="26"/>
        </w:rPr>
        <w:t xml:space="preserve">Así lo resolvió y firma el </w:t>
      </w:r>
      <w:r w:rsidRPr="003C576C">
        <w:rPr>
          <w:rFonts w:ascii="Calibri" w:eastAsia="BatangChe" w:hAnsi="Calibri" w:cs="Arial"/>
          <w:b/>
          <w:bCs/>
          <w:color w:val="767171" w:themeColor="background2" w:themeShade="80"/>
          <w:sz w:val="26"/>
        </w:rPr>
        <w:t>Licenciado Ernesto Alejandro Mora Álvarez,</w:t>
      </w:r>
      <w:r w:rsidRPr="003C576C">
        <w:rPr>
          <w:rFonts w:ascii="Calibri" w:eastAsia="BatangChe" w:hAnsi="Calibri" w:cs="Arial"/>
          <w:color w:val="767171" w:themeColor="background2" w:themeShade="80"/>
          <w:sz w:val="26"/>
        </w:rPr>
        <w:t xml:space="preserve"> Juez Segundo Administrativo Municipal, quien actúa asistido en forma legal con Secretaria de Estudio y Cuenta, </w:t>
      </w:r>
      <w:r w:rsidRPr="003C576C">
        <w:rPr>
          <w:rFonts w:ascii="Calibri" w:eastAsia="BatangChe" w:hAnsi="Calibri" w:cs="Arial"/>
          <w:b/>
          <w:bCs/>
          <w:color w:val="767171" w:themeColor="background2" w:themeShade="80"/>
          <w:sz w:val="26"/>
        </w:rPr>
        <w:t>Licenciada María del Rocío Villanueva Sánchez</w:t>
      </w:r>
      <w:r w:rsidRPr="003C576C">
        <w:rPr>
          <w:rFonts w:ascii="Calibri" w:eastAsia="BatangChe" w:hAnsi="Calibri" w:cs="Arial"/>
          <w:color w:val="767171" w:themeColor="background2" w:themeShade="80"/>
          <w:sz w:val="26"/>
        </w:rPr>
        <w:t xml:space="preserve">, quien da fe. . . . . . . . . . . . . . . . . . . . . . . . . . . . . . . . . . . . . . . . . . . . . . . . . </w:t>
      </w:r>
      <w:r>
        <w:rPr>
          <w:rFonts w:ascii="Calibri" w:eastAsia="BatangChe" w:hAnsi="Calibri" w:cs="Arial"/>
          <w:color w:val="767171" w:themeColor="background2" w:themeShade="80"/>
          <w:sz w:val="26"/>
        </w:rPr>
        <w:t xml:space="preserve">. . . . . . . . . . . </w:t>
      </w:r>
    </w:p>
    <w:sectPr w:rsidR="00CD0927" w:rsidSect="002B3412">
      <w:headerReference w:type="even" r:id="rId7"/>
      <w:headerReference w:type="default" r:id="rId8"/>
      <w:pgSz w:w="12242" w:h="20163" w:code="5"/>
      <w:pgMar w:top="2722" w:right="1474" w:bottom="2268" w:left="2155" w:header="720" w:footer="720" w:gutter="0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81E" w:rsidRDefault="00F4081E">
      <w:r>
        <w:separator/>
      </w:r>
    </w:p>
  </w:endnote>
  <w:endnote w:type="continuationSeparator" w:id="0">
    <w:p w:rsidR="00F4081E" w:rsidRDefault="00F4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81E" w:rsidRDefault="00F4081E">
      <w:r>
        <w:separator/>
      </w:r>
    </w:p>
  </w:footnote>
  <w:footnote w:type="continuationSeparator" w:id="0">
    <w:p w:rsidR="00F4081E" w:rsidRDefault="00F40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FAB" w:rsidRDefault="003218DB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77FAB" w:rsidRDefault="00F4081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FAB" w:rsidRDefault="003218DB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7465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77FAB" w:rsidRDefault="00F408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27"/>
    <w:rsid w:val="0001255C"/>
    <w:rsid w:val="00037DCF"/>
    <w:rsid w:val="00044AA2"/>
    <w:rsid w:val="0008277E"/>
    <w:rsid w:val="0009271C"/>
    <w:rsid w:val="00093017"/>
    <w:rsid w:val="000A71C6"/>
    <w:rsid w:val="000C734F"/>
    <w:rsid w:val="000F3253"/>
    <w:rsid w:val="000F70A5"/>
    <w:rsid w:val="00103290"/>
    <w:rsid w:val="00132B12"/>
    <w:rsid w:val="001712AC"/>
    <w:rsid w:val="001C0BDC"/>
    <w:rsid w:val="001F0227"/>
    <w:rsid w:val="001F207B"/>
    <w:rsid w:val="00221BCA"/>
    <w:rsid w:val="00290388"/>
    <w:rsid w:val="002B3412"/>
    <w:rsid w:val="002C012A"/>
    <w:rsid w:val="002C2253"/>
    <w:rsid w:val="002C5F93"/>
    <w:rsid w:val="002E46AE"/>
    <w:rsid w:val="002F1534"/>
    <w:rsid w:val="00306719"/>
    <w:rsid w:val="003218DB"/>
    <w:rsid w:val="00322963"/>
    <w:rsid w:val="00355C92"/>
    <w:rsid w:val="003A0533"/>
    <w:rsid w:val="003C54E0"/>
    <w:rsid w:val="003C7A6C"/>
    <w:rsid w:val="003C7CC9"/>
    <w:rsid w:val="003E0881"/>
    <w:rsid w:val="003F5EC1"/>
    <w:rsid w:val="00405DD0"/>
    <w:rsid w:val="004150FF"/>
    <w:rsid w:val="00445CD6"/>
    <w:rsid w:val="00475B33"/>
    <w:rsid w:val="004A3099"/>
    <w:rsid w:val="004C000C"/>
    <w:rsid w:val="004C53C9"/>
    <w:rsid w:val="00555AF5"/>
    <w:rsid w:val="00563DE3"/>
    <w:rsid w:val="00591E8C"/>
    <w:rsid w:val="005C1DB2"/>
    <w:rsid w:val="005D073A"/>
    <w:rsid w:val="005E1184"/>
    <w:rsid w:val="00630A0C"/>
    <w:rsid w:val="00683718"/>
    <w:rsid w:val="0069398B"/>
    <w:rsid w:val="006C0608"/>
    <w:rsid w:val="006C0665"/>
    <w:rsid w:val="006D6B08"/>
    <w:rsid w:val="0071129A"/>
    <w:rsid w:val="00730044"/>
    <w:rsid w:val="007323FB"/>
    <w:rsid w:val="00737D72"/>
    <w:rsid w:val="00745A31"/>
    <w:rsid w:val="0074734E"/>
    <w:rsid w:val="007A6F66"/>
    <w:rsid w:val="007C5A3A"/>
    <w:rsid w:val="00801C22"/>
    <w:rsid w:val="00821645"/>
    <w:rsid w:val="00845D2B"/>
    <w:rsid w:val="00874652"/>
    <w:rsid w:val="008748D7"/>
    <w:rsid w:val="008D3849"/>
    <w:rsid w:val="008F49CB"/>
    <w:rsid w:val="00904D1D"/>
    <w:rsid w:val="009324DB"/>
    <w:rsid w:val="00960E20"/>
    <w:rsid w:val="00961849"/>
    <w:rsid w:val="00995B1C"/>
    <w:rsid w:val="009E5908"/>
    <w:rsid w:val="00A144A7"/>
    <w:rsid w:val="00A4634A"/>
    <w:rsid w:val="00A945C1"/>
    <w:rsid w:val="00A960B8"/>
    <w:rsid w:val="00AA06A5"/>
    <w:rsid w:val="00AB3ED0"/>
    <w:rsid w:val="00AB78B1"/>
    <w:rsid w:val="00AC162F"/>
    <w:rsid w:val="00AE04E8"/>
    <w:rsid w:val="00B333A5"/>
    <w:rsid w:val="00B43B2C"/>
    <w:rsid w:val="00B60DF3"/>
    <w:rsid w:val="00B944D1"/>
    <w:rsid w:val="00B94A0B"/>
    <w:rsid w:val="00BE31D4"/>
    <w:rsid w:val="00C03A10"/>
    <w:rsid w:val="00C21121"/>
    <w:rsid w:val="00C21983"/>
    <w:rsid w:val="00C80EFD"/>
    <w:rsid w:val="00C96B20"/>
    <w:rsid w:val="00CA6B01"/>
    <w:rsid w:val="00CC4E53"/>
    <w:rsid w:val="00CD0927"/>
    <w:rsid w:val="00CE32B9"/>
    <w:rsid w:val="00D20C3B"/>
    <w:rsid w:val="00DF7DFE"/>
    <w:rsid w:val="00E16E4C"/>
    <w:rsid w:val="00E67733"/>
    <w:rsid w:val="00E76744"/>
    <w:rsid w:val="00EB0D35"/>
    <w:rsid w:val="00EB1C34"/>
    <w:rsid w:val="00EF2283"/>
    <w:rsid w:val="00F16115"/>
    <w:rsid w:val="00F4081E"/>
    <w:rsid w:val="00F620D9"/>
    <w:rsid w:val="00F9757F"/>
    <w:rsid w:val="00FB66F6"/>
    <w:rsid w:val="00FC352D"/>
    <w:rsid w:val="00FE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CD0927"/>
    <w:pPr>
      <w:keepNext/>
      <w:ind w:firstLine="708"/>
      <w:jc w:val="both"/>
      <w:outlineLvl w:val="1"/>
    </w:pPr>
    <w:rPr>
      <w:rFonts w:ascii="Garamond" w:hAnsi="Garamond"/>
      <w:b/>
      <w:bCs/>
      <w:color w:val="333333"/>
      <w:sz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D0927"/>
    <w:rPr>
      <w:rFonts w:ascii="Garamond" w:eastAsia="Times New Roman" w:hAnsi="Garamond" w:cs="Times New Roman"/>
      <w:b/>
      <w:bCs/>
      <w:color w:val="333333"/>
      <w:sz w:val="26"/>
      <w:szCs w:val="24"/>
      <w:lang w:eastAsia="es-ES"/>
    </w:rPr>
  </w:style>
  <w:style w:type="paragraph" w:styleId="NormalWeb">
    <w:name w:val="Normal (Web)"/>
    <w:basedOn w:val="Normal"/>
    <w:semiHidden/>
    <w:rsid w:val="00CD0927"/>
    <w:pPr>
      <w:spacing w:before="100" w:beforeAutospacing="1" w:after="100" w:afterAutospacing="1"/>
    </w:pPr>
    <w:rPr>
      <w:lang w:val="es-MX"/>
    </w:rPr>
  </w:style>
  <w:style w:type="paragraph" w:styleId="Sangra3detindependiente">
    <w:name w:val="Body Text Indent 3"/>
    <w:basedOn w:val="Normal"/>
    <w:link w:val="Sangra3detindependienteCar"/>
    <w:semiHidden/>
    <w:rsid w:val="00CD0927"/>
    <w:pPr>
      <w:ind w:firstLine="708"/>
      <w:jc w:val="both"/>
    </w:pPr>
    <w:rPr>
      <w:rFonts w:ascii="Calibri" w:hAnsi="Calibri"/>
      <w:color w:val="000000"/>
      <w:sz w:val="26"/>
      <w:szCs w:val="2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D0927"/>
    <w:rPr>
      <w:rFonts w:ascii="Calibri" w:eastAsia="Times New Roman" w:hAnsi="Calibri" w:cs="Times New Roman"/>
      <w:color w:val="000000"/>
      <w:sz w:val="26"/>
      <w:szCs w:val="26"/>
      <w:lang w:val="es-ES" w:eastAsia="es-ES"/>
    </w:rPr>
  </w:style>
  <w:style w:type="character" w:styleId="Nmerodepgina">
    <w:name w:val="page number"/>
    <w:basedOn w:val="Fuentedeprrafopredeter"/>
    <w:semiHidden/>
    <w:rsid w:val="00CD0927"/>
  </w:style>
  <w:style w:type="paragraph" w:styleId="Encabezado">
    <w:name w:val="header"/>
    <w:basedOn w:val="Normal"/>
    <w:link w:val="EncabezadoCar"/>
    <w:uiPriority w:val="99"/>
    <w:rsid w:val="00CD0927"/>
    <w:pPr>
      <w:tabs>
        <w:tab w:val="center" w:pos="4419"/>
        <w:tab w:val="right" w:pos="8838"/>
      </w:tabs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CD092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CD092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092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CD0927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CD092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D092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D092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CD092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CD092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ormal0">
    <w:name w:val="[Normal]"/>
    <w:rsid w:val="00CD09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CD0927"/>
    <w:pPr>
      <w:keepNext/>
      <w:ind w:firstLine="708"/>
      <w:jc w:val="both"/>
      <w:outlineLvl w:val="1"/>
    </w:pPr>
    <w:rPr>
      <w:rFonts w:ascii="Garamond" w:hAnsi="Garamond"/>
      <w:b/>
      <w:bCs/>
      <w:color w:val="333333"/>
      <w:sz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D0927"/>
    <w:rPr>
      <w:rFonts w:ascii="Garamond" w:eastAsia="Times New Roman" w:hAnsi="Garamond" w:cs="Times New Roman"/>
      <w:b/>
      <w:bCs/>
      <w:color w:val="333333"/>
      <w:sz w:val="26"/>
      <w:szCs w:val="24"/>
      <w:lang w:eastAsia="es-ES"/>
    </w:rPr>
  </w:style>
  <w:style w:type="paragraph" w:styleId="NormalWeb">
    <w:name w:val="Normal (Web)"/>
    <w:basedOn w:val="Normal"/>
    <w:semiHidden/>
    <w:rsid w:val="00CD0927"/>
    <w:pPr>
      <w:spacing w:before="100" w:beforeAutospacing="1" w:after="100" w:afterAutospacing="1"/>
    </w:pPr>
    <w:rPr>
      <w:lang w:val="es-MX"/>
    </w:rPr>
  </w:style>
  <w:style w:type="paragraph" w:styleId="Sangra3detindependiente">
    <w:name w:val="Body Text Indent 3"/>
    <w:basedOn w:val="Normal"/>
    <w:link w:val="Sangra3detindependienteCar"/>
    <w:semiHidden/>
    <w:rsid w:val="00CD0927"/>
    <w:pPr>
      <w:ind w:firstLine="708"/>
      <w:jc w:val="both"/>
    </w:pPr>
    <w:rPr>
      <w:rFonts w:ascii="Calibri" w:hAnsi="Calibri"/>
      <w:color w:val="000000"/>
      <w:sz w:val="26"/>
      <w:szCs w:val="2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D0927"/>
    <w:rPr>
      <w:rFonts w:ascii="Calibri" w:eastAsia="Times New Roman" w:hAnsi="Calibri" w:cs="Times New Roman"/>
      <w:color w:val="000000"/>
      <w:sz w:val="26"/>
      <w:szCs w:val="26"/>
      <w:lang w:val="es-ES" w:eastAsia="es-ES"/>
    </w:rPr>
  </w:style>
  <w:style w:type="character" w:styleId="Nmerodepgina">
    <w:name w:val="page number"/>
    <w:basedOn w:val="Fuentedeprrafopredeter"/>
    <w:semiHidden/>
    <w:rsid w:val="00CD0927"/>
  </w:style>
  <w:style w:type="paragraph" w:styleId="Encabezado">
    <w:name w:val="header"/>
    <w:basedOn w:val="Normal"/>
    <w:link w:val="EncabezadoCar"/>
    <w:uiPriority w:val="99"/>
    <w:rsid w:val="00CD0927"/>
    <w:pPr>
      <w:tabs>
        <w:tab w:val="center" w:pos="4419"/>
        <w:tab w:val="right" w:pos="8838"/>
      </w:tabs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CD092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CD092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092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CD0927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CD092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D092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D092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CD092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CD092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ormal0">
    <w:name w:val="[Normal]"/>
    <w:rsid w:val="00CD09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2587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Juzgado Administrativo Municipal</cp:lastModifiedBy>
  <cp:revision>2</cp:revision>
  <dcterms:created xsi:type="dcterms:W3CDTF">2017-04-27T20:30:00Z</dcterms:created>
  <dcterms:modified xsi:type="dcterms:W3CDTF">2017-04-27T20:30:00Z</dcterms:modified>
</cp:coreProperties>
</file>